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741515"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741515">
        <w:rPr>
          <w:rFonts w:ascii="Tahoma" w:hAnsi="Tahoma" w:cs="Tahoma"/>
          <w:color w:val="365F91" w:themeColor="accent1" w:themeShade="BF"/>
        </w:rPr>
        <w:t xml:space="preserve">    </w:t>
      </w:r>
      <w:r w:rsidR="00CF2634" w:rsidRPr="00741515">
        <w:rPr>
          <w:rFonts w:asciiTheme="minorHAnsi" w:hAnsiTheme="minorHAnsi" w:cs="Tahoma"/>
          <w:b/>
          <w:color w:val="365F91" w:themeColor="accent1" w:themeShade="BF"/>
        </w:rPr>
        <w:t>Société</w:t>
      </w:r>
      <w:r w:rsidR="00DF33DA" w:rsidRPr="00741515">
        <w:rPr>
          <w:rFonts w:asciiTheme="minorHAnsi" w:hAnsiTheme="minorHAnsi" w:cs="Tahoma"/>
          <w:b/>
          <w:color w:val="365F91" w:themeColor="accent1" w:themeShade="BF"/>
        </w:rPr>
        <w:t xml:space="preserve"> </w:t>
      </w:r>
      <w:r w:rsidR="00671AC7" w:rsidRPr="00741515">
        <w:rPr>
          <w:rFonts w:asciiTheme="minorHAnsi" w:hAnsiTheme="minorHAnsi" w:cs="Tahoma"/>
          <w:b/>
          <w:color w:val="365F91" w:themeColor="accent1" w:themeShade="BF"/>
        </w:rPr>
        <w:t>COVESTRO ELASTOMERS SAS</w:t>
      </w:r>
      <w:r w:rsidR="00CF2634"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p>
    <w:p w:rsidR="00671AC7"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741515">
        <w:rPr>
          <w:rFonts w:asciiTheme="minorHAnsi" w:hAnsiTheme="minorHAnsi" w:cs="Tahoma"/>
          <w:color w:val="365F91" w:themeColor="accent1" w:themeShade="BF"/>
        </w:rPr>
        <w:tab/>
      </w:r>
      <w:proofErr w:type="gramStart"/>
      <w:r w:rsidR="00671AC7" w:rsidRPr="00741515">
        <w:rPr>
          <w:rFonts w:asciiTheme="minorHAnsi" w:hAnsiTheme="minorHAnsi" w:cs="Tahoma"/>
          <w:color w:val="365F91" w:themeColor="accent1" w:themeShade="BF"/>
        </w:rPr>
        <w:t>46 .</w:t>
      </w:r>
      <w:proofErr w:type="gramEnd"/>
      <w:r w:rsidR="00671AC7" w:rsidRPr="00741515">
        <w:rPr>
          <w:rFonts w:asciiTheme="minorHAnsi" w:hAnsiTheme="minorHAnsi" w:cs="Tahoma"/>
          <w:color w:val="365F91" w:themeColor="accent1" w:themeShade="BF"/>
        </w:rPr>
        <w:t xml:space="preserve"> </w:t>
      </w:r>
      <w:r w:rsidR="00671AC7">
        <w:rPr>
          <w:rFonts w:asciiTheme="minorHAnsi" w:hAnsiTheme="minorHAnsi" w:cs="Tahoma"/>
          <w:color w:val="365F91" w:themeColor="accent1" w:themeShade="BF"/>
        </w:rPr>
        <w:t xml:space="preserve">Avenue des Allobroges </w:t>
      </w:r>
    </w:p>
    <w:p w:rsidR="00671AC7"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26100 ROMANS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741515">
        <w:rPr>
          <w:rFonts w:asciiTheme="minorHAnsi" w:hAnsiTheme="minorHAnsi" w:cs="Tahoma"/>
          <w:color w:val="365F91" w:themeColor="accent1" w:themeShade="BF"/>
        </w:rPr>
        <w:t>01/10/2015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741515">
        <w:rPr>
          <w:rFonts w:asciiTheme="minorHAnsi" w:hAnsiTheme="minorHAnsi" w:cs="Tahoma"/>
          <w:color w:val="365F91" w:themeColor="accent1" w:themeShade="BF"/>
        </w:rPr>
        <w:t>BOZONNET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741515">
        <w:rPr>
          <w:rFonts w:asciiTheme="minorHAnsi" w:hAnsiTheme="minorHAnsi" w:cs="Tahoma"/>
          <w:color w:val="365F91" w:themeColor="accent1" w:themeShade="BF"/>
          <w:u w:val="single"/>
        </w:rPr>
        <w:t xml:space="preserve"> à vitesse variable </w:t>
      </w:r>
      <w:r w:rsidR="00671AC7">
        <w:rPr>
          <w:rFonts w:asciiTheme="minorHAnsi" w:hAnsiTheme="minorHAnsi" w:cs="Tahoma"/>
          <w:color w:val="365F91" w:themeColor="accent1" w:themeShade="BF"/>
          <w:u w:val="single"/>
        </w:rPr>
        <w:t>neuf en remplacement de votre compresseur 45KW COMPAIR actuel</w:t>
      </w:r>
      <w:r w:rsidR="003C2DE8">
        <w:rPr>
          <w:rFonts w:asciiTheme="minorHAnsi" w:hAnsiTheme="minorHAnsi" w:cs="Tahoma"/>
          <w:color w:val="365F91" w:themeColor="accent1" w:themeShade="BF"/>
          <w:u w:val="single"/>
        </w:rPr>
        <w:t xml:space="preserve"> ( hors installation )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proofErr w:type="gramStart"/>
      <w:r w:rsidR="00487DA0">
        <w:rPr>
          <w:rFonts w:asciiTheme="minorHAnsi" w:hAnsiTheme="minorHAnsi" w:cs="Tahoma"/>
          <w:color w:val="365F91" w:themeColor="accent1" w:themeShade="BF"/>
        </w:rPr>
        <w:t>soins .</w:t>
      </w:r>
      <w:proofErr w:type="gramEnd"/>
    </w:p>
    <w:p w:rsidR="00487DA0" w:rsidRDefault="00487DA0" w:rsidP="00514DEA">
      <w:pPr>
        <w:rPr>
          <w:rFonts w:asciiTheme="minorHAnsi" w:hAnsiTheme="minorHAnsi" w:cs="Tahoma"/>
          <w:color w:val="365F91" w:themeColor="accent1" w:themeShade="BF"/>
        </w:rPr>
      </w:pPr>
    </w:p>
    <w:p w:rsidR="00487DA0" w:rsidRPr="00307D6A" w:rsidRDefault="00487DA0"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671AC7" w:rsidRDefault="00671AC7" w:rsidP="00671AC7"/>
    <w:p w:rsidR="00671AC7" w:rsidRPr="00671AC7" w:rsidRDefault="00671AC7" w:rsidP="00671AC7"/>
    <w:p w:rsidR="00266670" w:rsidRPr="00307D6A" w:rsidRDefault="00FA1547" w:rsidP="00FA1547">
      <w:pPr>
        <w:pStyle w:val="Titre5"/>
        <w:rPr>
          <w:color w:val="365F91" w:themeColor="accent1" w:themeShade="BF"/>
        </w:rPr>
      </w:pPr>
      <w:r>
        <w:rPr>
          <w:rFonts w:asciiTheme="minorHAnsi" w:hAnsiTheme="minorHAnsi" w:cs="Tahoma"/>
          <w:i w:val="0"/>
          <w:noProof/>
          <w:color w:val="365F91" w:themeColor="accent1" w:themeShade="BF"/>
          <w:sz w:val="28"/>
          <w:szCs w:val="28"/>
        </w:rPr>
        <w:lastRenderedPageBreak/>
        <w:drawing>
          <wp:anchor distT="0" distB="0" distL="114300" distR="114300" simplePos="0" relativeHeight="251673600" behindDoc="0" locked="0" layoutInCell="1" allowOverlap="1">
            <wp:simplePos x="0" y="0"/>
            <wp:positionH relativeFrom="column">
              <wp:posOffset>4229100</wp:posOffset>
            </wp:positionH>
            <wp:positionV relativeFrom="paragraph">
              <wp:posOffset>-412115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00266670"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RS</w:t>
      </w:r>
      <w:r w:rsidR="00741515">
        <w:rPr>
          <w:rFonts w:asciiTheme="minorHAnsi" w:hAnsiTheme="minorHAnsi" w:cs="Tahoma"/>
          <w:i w:val="0"/>
          <w:color w:val="365F91" w:themeColor="accent1" w:themeShade="BF"/>
          <w:sz w:val="28"/>
          <w:szCs w:val="28"/>
          <w:u w:val="single"/>
        </w:rPr>
        <w:t>F</w:t>
      </w:r>
      <w:r w:rsidR="003B5D60">
        <w:rPr>
          <w:rFonts w:asciiTheme="minorHAnsi" w:hAnsiTheme="minorHAnsi" w:cs="Tahoma"/>
          <w:i w:val="0"/>
          <w:color w:val="365F91" w:themeColor="accent1" w:themeShade="BF"/>
          <w:sz w:val="28"/>
          <w:szCs w:val="28"/>
          <w:u w:val="single"/>
        </w:rPr>
        <w:t xml:space="preserve"> </w:t>
      </w:r>
      <w:r w:rsidR="00671AC7">
        <w:rPr>
          <w:rFonts w:asciiTheme="minorHAnsi" w:hAnsiTheme="minorHAnsi" w:cs="Tahoma"/>
          <w:i w:val="0"/>
          <w:color w:val="365F91" w:themeColor="accent1" w:themeShade="BF"/>
          <w:sz w:val="28"/>
          <w:szCs w:val="28"/>
          <w:u w:val="single"/>
        </w:rPr>
        <w:t xml:space="preserve">45  - </w:t>
      </w:r>
    </w:p>
    <w:p w:rsidR="00EF634B" w:rsidRPr="00EF634B" w:rsidRDefault="00EF634B" w:rsidP="00671AC7">
      <w:pPr>
        <w:pStyle w:val="En-tte"/>
        <w:tabs>
          <w:tab w:val="left" w:pos="708"/>
        </w:tabs>
        <w:jc w:val="center"/>
        <w:rPr>
          <w:rFonts w:asciiTheme="minorHAnsi" w:hAnsiTheme="minorHAnsi" w:cs="Tahoma"/>
          <w:b/>
          <w:noProof/>
          <w:color w:val="365F91" w:themeColor="accent1" w:themeShade="BF"/>
          <w:u w:val="single"/>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Avantages de la gamme RS</w:t>
      </w:r>
      <w:r w:rsidR="00741515">
        <w:rPr>
          <w:rFonts w:asciiTheme="minorHAnsi" w:hAnsiTheme="minorHAnsi" w:cs="Helvetica"/>
          <w:color w:val="1F497D" w:themeColor="text2"/>
          <w:sz w:val="22"/>
          <w:szCs w:val="22"/>
          <w:u w:val="single"/>
        </w:rPr>
        <w:t>F</w:t>
      </w:r>
      <w:r w:rsidRPr="00671AC7">
        <w:rPr>
          <w:rFonts w:asciiTheme="minorHAnsi" w:hAnsiTheme="minorHAnsi" w:cs="Helvetica"/>
          <w:color w:val="1F497D" w:themeColor="text2"/>
          <w:sz w:val="22"/>
          <w:szCs w:val="22"/>
          <w:u w:val="single"/>
        </w:rPr>
        <w:t xml:space="preserve"> : </w:t>
      </w:r>
    </w:p>
    <w:p w:rsidR="00741515" w:rsidRDefault="00741515" w:rsidP="00741515">
      <w:pPr>
        <w:ind w:left="225"/>
      </w:pP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pression plus haute que nécessaire</w:t>
      </w:r>
      <w:r w:rsidRPr="00741515">
        <w:rPr>
          <w:rStyle w:val="apple-converted-space"/>
          <w:rFonts w:asciiTheme="minorHAnsi" w:hAnsiTheme="minorHAnsi" w:cs="Helvetica"/>
          <w:color w:val="1F497D" w:themeColor="text2"/>
          <w:sz w:val="22"/>
          <w:szCs w:val="22"/>
        </w:rPr>
        <w:t> </w:t>
      </w:r>
      <w:r w:rsidRPr="00741515">
        <w:rPr>
          <w:rFonts w:asciiTheme="minorHAnsi" w:hAnsiTheme="minorHAnsi" w:cs="Helvetica"/>
          <w:color w:val="1F497D" w:themeColor="text2"/>
          <w:sz w:val="22"/>
          <w:szCs w:val="22"/>
        </w:rPr>
        <w:t>(chaque bar de pression supplémentaire augmente la consommation énergétique de 8% environs).</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phase « marche continue », en conséquence pas de consommation de courant inutile.</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pointes d’intensité habituelle car disposant d’un démarrage électronique progressif.</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d’opération de décharge – pas de perte d’énergie</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Minimisation de la contrainte pour les pièces consommables et du système.</w:t>
      </w:r>
    </w:p>
    <w:p w:rsid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Réduction des frais de maintenance et durée de vie supérieur.</w:t>
      </w:r>
    </w:p>
    <w:p w:rsidR="00741515" w:rsidRPr="00741515" w:rsidRDefault="00741515" w:rsidP="00741515">
      <w:pPr>
        <w:pStyle w:val="Paragraphedeliste"/>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 xml:space="preserve">Une </w:t>
      </w:r>
      <w:r w:rsidRPr="00741515">
        <w:rPr>
          <w:rFonts w:asciiTheme="minorHAnsi" w:hAnsiTheme="minorHAnsi" w:cs="Helvetica"/>
          <w:b/>
          <w:color w:val="1F497D" w:themeColor="text2"/>
          <w:sz w:val="22"/>
          <w:szCs w:val="22"/>
        </w:rPr>
        <w:t>garantie totale de deux ans</w:t>
      </w:r>
    </w:p>
    <w:p w:rsidR="00741515" w:rsidRPr="00741515" w:rsidRDefault="00741515" w:rsidP="00741515">
      <w:pPr>
        <w:ind w:left="225"/>
        <w:rPr>
          <w:rFonts w:asciiTheme="minorHAnsi" w:hAnsiTheme="minorHAnsi" w:cs="Helvetica"/>
          <w:color w:val="1F497D" w:themeColor="text2"/>
          <w:sz w:val="22"/>
          <w:szCs w:val="22"/>
        </w:rPr>
      </w:pPr>
    </w:p>
    <w:p w:rsidR="00741515" w:rsidRPr="00741515" w:rsidRDefault="00741515" w:rsidP="00741515">
      <w:pPr>
        <w:pStyle w:val="bodytext"/>
        <w:spacing w:before="0" w:beforeAutospacing="0" w:after="0" w:afterAutospacing="0"/>
        <w:rPr>
          <w:rFonts w:asciiTheme="minorHAnsi" w:hAnsiTheme="minorHAnsi" w:cs="Helvetica"/>
          <w:color w:val="1F497D" w:themeColor="text2"/>
        </w:rPr>
      </w:pPr>
      <w:r w:rsidRPr="00741515">
        <w:rPr>
          <w:rFonts w:asciiTheme="minorHAnsi" w:hAnsiTheme="minorHAnsi" w:cs="Helvetica"/>
          <w:b/>
          <w:bCs/>
          <w:color w:val="1F497D" w:themeColor="text2"/>
        </w:rPr>
        <w:t>Gamme RSF compresseurs à vis de 4 à 250 kW avec variateur électronique de fréquence</w:t>
      </w:r>
      <w:r w:rsidRPr="00741515">
        <w:rPr>
          <w:rFonts w:asciiTheme="minorHAnsi" w:hAnsiTheme="minorHAnsi" w:cs="Helvetica"/>
          <w:color w:val="1F497D" w:themeColor="text2"/>
        </w:rPr>
        <w:t> </w:t>
      </w:r>
    </w:p>
    <w:p w:rsidR="00741515" w:rsidRDefault="00741515" w:rsidP="00741515">
      <w:pPr>
        <w:pStyle w:val="bodytext"/>
        <w:spacing w:before="0" w:beforeAutospacing="0" w:after="0" w:afterAutospacing="0"/>
        <w:rPr>
          <w:rFonts w:asciiTheme="minorHAnsi" w:hAnsiTheme="minorHAnsi" w:cs="Helvetica"/>
          <w:color w:val="1F497D" w:themeColor="text2"/>
        </w:rPr>
      </w:pPr>
      <w:r w:rsidRPr="00741515">
        <w:rPr>
          <w:rFonts w:asciiTheme="minorHAnsi" w:hAnsiTheme="minorHAnsi" w:cs="Helvetica"/>
          <w:color w:val="1F497D" w:themeColor="text2"/>
        </w:rPr>
        <w:t>Ces compresseurs à vis sont conçus pour les besoins industriels intensifs. Les critères décisifs lors de la conception de ces machines sont orientés vers la réalisation d’une économie électrique substantielle, une durée de vie optimisée, ainsi qu’une maintenance simplifiée et peu onéreuse.</w:t>
      </w:r>
      <w:r w:rsidR="00FA1547">
        <w:rPr>
          <w:rFonts w:asciiTheme="minorHAnsi" w:hAnsiTheme="minorHAnsi" w:cs="Helvetica"/>
          <w:color w:val="1F497D" w:themeColor="text2"/>
        </w:rPr>
        <w:t xml:space="preserve"> </w:t>
      </w:r>
      <w:r w:rsidRPr="00741515">
        <w:rPr>
          <w:rFonts w:asciiTheme="minorHAnsi" w:hAnsiTheme="minorHAnsi" w:cs="Helvetica"/>
          <w:color w:val="1F497D" w:themeColor="text2"/>
        </w:rPr>
        <w:t>Tous les compresseurs RSF sont équipés de série du système de commande, de régulation et de </w:t>
      </w:r>
      <w:r w:rsidRPr="00741515">
        <w:rPr>
          <w:rStyle w:val="apple-converted-space"/>
          <w:rFonts w:asciiTheme="minorHAnsi" w:hAnsiTheme="minorHAnsi" w:cs="Helvetica"/>
          <w:color w:val="1F497D" w:themeColor="text2"/>
        </w:rPr>
        <w:t> </w:t>
      </w:r>
      <w:r w:rsidRPr="00741515">
        <w:rPr>
          <w:rFonts w:asciiTheme="minorHAnsi" w:hAnsiTheme="minorHAnsi" w:cs="Helvetica"/>
          <w:color w:val="1F497D" w:themeColor="text2"/>
        </w:rPr>
        <w:t xml:space="preserve">surveillance électronique </w:t>
      </w:r>
      <w:proofErr w:type="spellStart"/>
      <w:r w:rsidRPr="00741515">
        <w:rPr>
          <w:rFonts w:asciiTheme="minorHAnsi" w:hAnsiTheme="minorHAnsi" w:cs="Helvetica"/>
          <w:color w:val="1F497D" w:themeColor="text2"/>
        </w:rPr>
        <w:t>RENNERtronic</w:t>
      </w:r>
      <w:proofErr w:type="spellEnd"/>
      <w:r w:rsidRPr="00741515">
        <w:rPr>
          <w:rFonts w:asciiTheme="minorHAnsi" w:hAnsiTheme="minorHAnsi" w:cs="Helvetica"/>
          <w:color w:val="1F497D" w:themeColor="text2"/>
        </w:rPr>
        <w:t>.</w:t>
      </w:r>
    </w:p>
    <w:p w:rsidR="00741515" w:rsidRPr="00741515" w:rsidRDefault="00741515" w:rsidP="00741515">
      <w:pPr>
        <w:pStyle w:val="bodytext"/>
        <w:spacing w:before="0" w:beforeAutospacing="0" w:after="0" w:afterAutospacing="0"/>
        <w:rPr>
          <w:rFonts w:asciiTheme="minorHAnsi" w:hAnsiTheme="minorHAnsi" w:cs="Helvetica"/>
          <w:color w:val="1F497D" w:themeColor="text2"/>
        </w:rPr>
      </w:pPr>
      <w:r>
        <w:rPr>
          <w:rFonts w:asciiTheme="minorHAnsi" w:hAnsiTheme="minorHAnsi" w:cs="Helvetica"/>
          <w:noProof/>
          <w:color w:val="1F497D" w:themeColor="text2"/>
        </w:rPr>
        <w:drawing>
          <wp:anchor distT="0" distB="0" distL="114300" distR="114300" simplePos="0" relativeHeight="251674624" behindDoc="0" locked="0" layoutInCell="1" allowOverlap="1">
            <wp:simplePos x="0" y="0"/>
            <wp:positionH relativeFrom="column">
              <wp:posOffset>3724275</wp:posOffset>
            </wp:positionH>
            <wp:positionV relativeFrom="paragraph">
              <wp:posOffset>160655</wp:posOffset>
            </wp:positionV>
            <wp:extent cx="3164840" cy="2934335"/>
            <wp:effectExtent l="57150" t="38100" r="35560" b="18415"/>
            <wp:wrapNone/>
            <wp:docPr id="8" name="Image 8" descr="http://img.directindustry.com/images_di/photo-g/air-compressor-screw-oil-injected-stationary-28964-7799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directindustry.com/images_di/photo-g/air-compressor-screw-oil-injected-stationary-28964-7799689.jpg"/>
                    <pic:cNvPicPr>
                      <a:picLocks noChangeAspect="1" noChangeArrowheads="1"/>
                    </pic:cNvPicPr>
                  </pic:nvPicPr>
                  <pic:blipFill>
                    <a:blip r:embed="rId9" cstate="print"/>
                    <a:srcRect/>
                    <a:stretch>
                      <a:fillRect/>
                    </a:stretch>
                  </pic:blipFill>
                  <pic:spPr bwMode="auto">
                    <a:xfrm>
                      <a:off x="0" y="0"/>
                      <a:ext cx="3164840" cy="2934335"/>
                    </a:xfrm>
                    <a:prstGeom prst="rect">
                      <a:avLst/>
                    </a:prstGeom>
                    <a:noFill/>
                    <a:ln w="28575">
                      <a:solidFill>
                        <a:schemeClr val="tx1"/>
                      </a:solidFill>
                      <a:miter lim="800000"/>
                      <a:headEnd/>
                      <a:tailEnd/>
                    </a:ln>
                  </pic:spPr>
                </pic:pic>
              </a:graphicData>
            </a:graphic>
          </wp:anchor>
        </w:drawing>
      </w:r>
    </w:p>
    <w:p w:rsidR="00741515" w:rsidRPr="00741515" w:rsidRDefault="00741515" w:rsidP="00741515">
      <w:pPr>
        <w:pStyle w:val="Titre1"/>
        <w:spacing w:before="0"/>
        <w:rPr>
          <w:rFonts w:asciiTheme="minorHAnsi" w:hAnsiTheme="minorHAnsi" w:cs="Helvetica"/>
          <w:color w:val="1F497D" w:themeColor="text2"/>
          <w:sz w:val="24"/>
          <w:szCs w:val="24"/>
        </w:rPr>
      </w:pPr>
      <w:r w:rsidRPr="00741515">
        <w:rPr>
          <w:rFonts w:asciiTheme="minorHAnsi" w:hAnsiTheme="minorHAnsi" w:cs="Helvetica"/>
          <w:color w:val="1F497D" w:themeColor="text2"/>
          <w:sz w:val="24"/>
          <w:szCs w:val="24"/>
        </w:rPr>
        <w:t>Pourquoi le variateur électronique de fréquence?</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Economie d’énergie</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Respect du matériel</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Optimisation de la pression</w:t>
      </w:r>
      <w:r w:rsidRPr="00741515">
        <w:t xml:space="preserve"> </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Réduction des pertes de décompressions</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Réduction des émissions de CO2</w:t>
      </w:r>
    </w:p>
    <w:p w:rsidR="00741515" w:rsidRPr="00671AC7" w:rsidRDefault="00741515" w:rsidP="00741515">
      <w:pPr>
        <w:ind w:left="225"/>
        <w:rPr>
          <w:rFonts w:asciiTheme="minorHAnsi" w:hAnsiTheme="minorHAnsi" w:cs="Helvetica"/>
          <w:color w:val="1F497D" w:themeColor="text2"/>
          <w:sz w:val="22"/>
          <w:szCs w:val="22"/>
        </w:rPr>
      </w:pPr>
    </w:p>
    <w:p w:rsidR="00CB263D" w:rsidRDefault="00CB263D" w:rsidP="00CB263D">
      <w:pPr>
        <w:ind w:left="225"/>
        <w:rPr>
          <w:rFonts w:asciiTheme="minorHAnsi" w:hAnsiTheme="minorHAnsi" w:cs="Helvetica"/>
          <w:color w:val="1F497D" w:themeColor="text2"/>
          <w:sz w:val="22"/>
          <w:szCs w:val="22"/>
        </w:rPr>
      </w:pPr>
    </w:p>
    <w:p w:rsidR="00097F10" w:rsidRDefault="00741515" w:rsidP="00CB263D">
      <w:pPr>
        <w:rPr>
          <w:rFonts w:asciiTheme="minorHAnsi" w:hAnsiTheme="minorHAnsi" w:cs="Tahoma"/>
          <w:color w:val="365F91" w:themeColor="accent1" w:themeShade="BF"/>
        </w:rPr>
      </w:pPr>
      <w:r>
        <w:rPr>
          <w:rFonts w:asciiTheme="minorHAnsi" w:hAnsiTheme="minorHAnsi" w:cs="Tahoma"/>
          <w:noProof/>
          <w:color w:val="365F91" w:themeColor="accent1" w:themeShade="BF"/>
        </w:rPr>
        <w:drawing>
          <wp:inline distT="0" distB="0" distL="0" distR="0">
            <wp:extent cx="5905500" cy="3005564"/>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13544" cy="3009658"/>
                    </a:xfrm>
                    <a:prstGeom prst="rect">
                      <a:avLst/>
                    </a:prstGeom>
                    <a:noFill/>
                    <a:ln w="9525">
                      <a:noFill/>
                      <a:miter lim="800000"/>
                      <a:headEnd/>
                      <a:tailEnd/>
                    </a:ln>
                  </pic:spPr>
                </pic:pic>
              </a:graphicData>
            </a:graphic>
          </wp:inline>
        </w:drawing>
      </w:r>
    </w:p>
    <w:p w:rsidR="00FA1547" w:rsidRDefault="00FA1547" w:rsidP="00CB263D">
      <w:pPr>
        <w:rPr>
          <w:rFonts w:asciiTheme="minorHAnsi" w:hAnsiTheme="minorHAnsi" w:cs="Tahoma"/>
          <w:color w:val="365F91" w:themeColor="accent1" w:themeShade="BF"/>
        </w:rPr>
      </w:pP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741515">
        <w:rPr>
          <w:rFonts w:asciiTheme="minorHAnsi" w:hAnsiTheme="minorHAnsi" w:cs="Tahoma"/>
          <w:b/>
          <w:color w:val="365F91" w:themeColor="accent1" w:themeShade="BF"/>
        </w:rPr>
        <w:t>18 250.92</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B77802" w:rsidRDefault="00B77802" w:rsidP="00B77802">
      <w:pPr>
        <w:pStyle w:val="En-tte"/>
        <w:tabs>
          <w:tab w:val="left" w:pos="708"/>
        </w:tabs>
        <w:rPr>
          <w:rFonts w:asciiTheme="minorHAnsi" w:hAnsiTheme="minorHAnsi" w:cs="Tahoma"/>
          <w:b/>
          <w:color w:val="365F91" w:themeColor="accent1" w:themeShade="BF"/>
        </w:rPr>
      </w:pPr>
    </w:p>
    <w:p w:rsidR="00514DEA" w:rsidRPr="00307D6A" w:rsidRDefault="00264105"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8346ED"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r w:rsidR="00741515">
        <w:rPr>
          <w:rFonts w:asciiTheme="minorHAnsi" w:hAnsiTheme="minorHAnsi" w:cs="Tahoma"/>
          <w:color w:val="365F91" w:themeColor="accent1" w:themeShade="BF"/>
        </w:rPr>
        <w:t xml:space="preserve"> suivant documentation ci </w:t>
      </w:r>
      <w:proofErr w:type="spellStart"/>
      <w:r w:rsidR="00741515">
        <w:rPr>
          <w:rFonts w:asciiTheme="minorHAnsi" w:hAnsiTheme="minorHAnsi" w:cs="Tahoma"/>
          <w:color w:val="365F91" w:themeColor="accent1" w:themeShade="BF"/>
        </w:rPr>
        <w:t>jonte</w:t>
      </w:r>
      <w:proofErr w:type="spellEnd"/>
    </w:p>
    <w:p w:rsidR="008346ED" w:rsidRDefault="008346ED" w:rsidP="008346ED">
      <w:pPr>
        <w:pStyle w:val="Paragraphedeliste"/>
        <w:spacing w:before="100" w:beforeAutospacing="1" w:after="100" w:afterAutospacing="1"/>
        <w:ind w:left="1035"/>
        <w:rPr>
          <w:rFonts w:asciiTheme="minorHAnsi" w:hAnsiTheme="minorHAnsi"/>
          <w:color w:val="365F91" w:themeColor="accent1" w:themeShade="BF"/>
        </w:rPr>
      </w:pPr>
    </w:p>
    <w:p w:rsidR="008346ED" w:rsidRPr="008346ED" w:rsidRDefault="008346ED" w:rsidP="008346ED">
      <w:pPr>
        <w:pStyle w:val="Paragraphedeliste"/>
        <w:numPr>
          <w:ilvl w:val="0"/>
          <w:numId w:val="11"/>
        </w:numPr>
        <w:spacing w:before="100" w:beforeAutospacing="1" w:after="100" w:afterAutospacing="1"/>
        <w:rPr>
          <w:rFonts w:asciiTheme="minorHAnsi" w:hAnsiTheme="minorHAnsi"/>
          <w:color w:val="365F91" w:themeColor="accent1" w:themeShade="BF"/>
        </w:rPr>
      </w:pPr>
      <w:r w:rsidRPr="008346ED">
        <w:rPr>
          <w:rFonts w:asciiTheme="minorHAnsi" w:hAnsiTheme="minorHAnsi"/>
          <w:color w:val="365F91" w:themeColor="accent1" w:themeShade="BF"/>
        </w:rPr>
        <w:t>Délai : 10 JOURS</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w:t>
      </w:r>
      <w:r w:rsidR="00264105">
        <w:rPr>
          <w:rFonts w:asciiTheme="minorHAnsi" w:hAnsiTheme="minorHAnsi"/>
          <w:b/>
          <w:color w:val="365F91" w:themeColor="accent1" w:themeShade="BF"/>
        </w:rPr>
        <w:t xml:space="preserve">ŒUVRE –  (Possibilité d’extension + 3 ans pièces pour la somme totale  de 599 € NET </w:t>
      </w:r>
      <w:proofErr w:type="gramStart"/>
      <w:r w:rsidR="00264105">
        <w:rPr>
          <w:rFonts w:asciiTheme="minorHAnsi" w:hAnsiTheme="minorHAnsi"/>
          <w:b/>
          <w:color w:val="365F91" w:themeColor="accent1" w:themeShade="BF"/>
        </w:rPr>
        <w:t>HT )</w:t>
      </w:r>
      <w:proofErr w:type="gramEnd"/>
      <w:r w:rsidR="00264105">
        <w:rPr>
          <w:rFonts w:asciiTheme="minorHAnsi" w:hAnsiTheme="minorHAnsi"/>
          <w:b/>
          <w:color w:val="365F91" w:themeColor="accent1" w:themeShade="BF"/>
        </w:rPr>
        <w:t xml:space="preserve">  </w:t>
      </w:r>
    </w:p>
    <w:p w:rsidR="00102547" w:rsidRPr="00C46F96" w:rsidRDefault="00102547" w:rsidP="00C46F96">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C46F96" w:rsidRPr="00C46F96" w:rsidRDefault="00C46F96" w:rsidP="00C46F96">
      <w:pPr>
        <w:pStyle w:val="Paragraphedeliste"/>
        <w:rPr>
          <w:rFonts w:asciiTheme="minorHAnsi" w:hAnsiTheme="minorHAnsi"/>
          <w:color w:val="365F91" w:themeColor="accent1" w:themeShade="BF"/>
        </w:rPr>
      </w:pP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264105"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III</w:t>
      </w:r>
      <w:r w:rsidR="00EA16C7" w:rsidRPr="00307D6A">
        <w:rPr>
          <w:rFonts w:ascii="Calibri" w:hAnsi="Calibri"/>
          <w:b/>
          <w:color w:val="365F91" w:themeColor="accent1" w:themeShade="BF"/>
          <w:sz w:val="28"/>
          <w:szCs w:val="28"/>
          <w:u w:val="single"/>
        </w:rPr>
        <w:t xml:space="preserve"> – DECOMPOSITION DU PRIX</w:t>
      </w:r>
    </w:p>
    <w:p w:rsidR="00EA16C7" w:rsidRPr="00B77802" w:rsidRDefault="00EA16C7" w:rsidP="00EA16C7">
      <w:pPr>
        <w:autoSpaceDE w:val="0"/>
        <w:autoSpaceDN w:val="0"/>
        <w:adjustRightInd w:val="0"/>
        <w:rPr>
          <w:rFonts w:ascii="Calibri" w:hAnsi="Calibri"/>
          <w:b/>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b/>
          <w:color w:val="17365D" w:themeColor="text2" w:themeShade="BF"/>
          <w:sz w:val="18"/>
          <w:szCs w:val="18"/>
        </w:rPr>
      </w:pPr>
      <w:proofErr w:type="spellStart"/>
      <w:r w:rsidRPr="00B77802">
        <w:rPr>
          <w:rFonts w:ascii="Arial" w:hAnsi="Arial" w:cs="Arial"/>
          <w:b/>
          <w:color w:val="17365D" w:themeColor="text2" w:themeShade="BF"/>
          <w:sz w:val="18"/>
          <w:szCs w:val="18"/>
        </w:rPr>
        <w:t>Ref</w:t>
      </w:r>
      <w:proofErr w:type="spellEnd"/>
      <w:r w:rsidRPr="00B77802">
        <w:rPr>
          <w:rFonts w:ascii="Arial" w:hAnsi="Arial" w:cs="Arial"/>
          <w:b/>
          <w:color w:val="17365D" w:themeColor="text2" w:themeShade="BF"/>
          <w:sz w:val="18"/>
          <w:szCs w:val="18"/>
        </w:rPr>
        <w:tab/>
        <w:t>Désignation</w:t>
      </w:r>
      <w:r w:rsidRPr="00B77802">
        <w:rPr>
          <w:rFonts w:ascii="Arial" w:hAnsi="Arial" w:cs="Arial"/>
          <w:b/>
          <w:color w:val="17365D" w:themeColor="text2" w:themeShade="BF"/>
          <w:sz w:val="18"/>
          <w:szCs w:val="18"/>
        </w:rPr>
        <w:tab/>
        <w:t>PU HT</w:t>
      </w:r>
      <w:r w:rsidRPr="00B77802">
        <w:rPr>
          <w:rFonts w:ascii="Arial" w:hAnsi="Arial" w:cs="Arial"/>
          <w:b/>
          <w:color w:val="17365D" w:themeColor="text2" w:themeShade="BF"/>
          <w:sz w:val="18"/>
          <w:szCs w:val="18"/>
        </w:rPr>
        <w:tab/>
      </w:r>
      <w:proofErr w:type="spellStart"/>
      <w:r w:rsidRPr="00B77802">
        <w:rPr>
          <w:rFonts w:ascii="Arial" w:hAnsi="Arial" w:cs="Arial"/>
          <w:b/>
          <w:color w:val="17365D" w:themeColor="text2" w:themeShade="BF"/>
          <w:sz w:val="18"/>
          <w:szCs w:val="18"/>
        </w:rPr>
        <w:t>Qté</w:t>
      </w:r>
      <w:proofErr w:type="spellEnd"/>
      <w:r w:rsidRPr="00B77802">
        <w:rPr>
          <w:rFonts w:ascii="Arial" w:hAnsi="Arial" w:cs="Arial"/>
          <w:b/>
          <w:color w:val="17365D" w:themeColor="text2" w:themeShade="BF"/>
          <w:sz w:val="18"/>
          <w:szCs w:val="18"/>
        </w:rPr>
        <w:tab/>
        <w:t>Total HT</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 xml:space="preserve">REN </w:t>
      </w:r>
      <w:r w:rsidR="00FA1547">
        <w:rPr>
          <w:color w:val="17365D" w:themeColor="text2" w:themeShade="BF"/>
          <w:sz w:val="18"/>
          <w:szCs w:val="18"/>
        </w:rPr>
        <w:t>RSF45</w:t>
      </w:r>
      <w:r w:rsidRPr="00B77802">
        <w:rPr>
          <w:rFonts w:ascii="Arial" w:hAnsi="Arial" w:cs="Arial"/>
          <w:color w:val="17365D" w:themeColor="text2" w:themeShade="BF"/>
          <w:sz w:val="18"/>
          <w:szCs w:val="18"/>
        </w:rPr>
        <w:tab/>
        <w:t xml:space="preserve">compresseur à vis </w:t>
      </w:r>
      <w:r w:rsidR="00264105">
        <w:rPr>
          <w:rFonts w:ascii="Arial" w:hAnsi="Arial" w:cs="Arial"/>
          <w:color w:val="17365D" w:themeColor="text2" w:themeShade="BF"/>
          <w:sz w:val="18"/>
          <w:szCs w:val="18"/>
        </w:rPr>
        <w:t>45</w:t>
      </w:r>
      <w:r w:rsidRPr="00B77802">
        <w:rPr>
          <w:rFonts w:ascii="Arial" w:hAnsi="Arial" w:cs="Arial"/>
          <w:color w:val="17365D" w:themeColor="text2" w:themeShade="BF"/>
          <w:sz w:val="18"/>
          <w:szCs w:val="18"/>
        </w:rPr>
        <w:t xml:space="preserve"> KW </w:t>
      </w:r>
      <w:r w:rsidR="00FA1547">
        <w:rPr>
          <w:rFonts w:ascii="Arial" w:hAnsi="Arial" w:cs="Arial"/>
          <w:color w:val="17365D" w:themeColor="text2" w:themeShade="BF"/>
          <w:sz w:val="18"/>
          <w:szCs w:val="18"/>
        </w:rPr>
        <w:t>vitesse variable</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r>
      <w:r w:rsidR="00FA1547">
        <w:rPr>
          <w:rFonts w:ascii="Arial" w:hAnsi="Arial" w:cs="Arial"/>
          <w:color w:val="17365D" w:themeColor="text2" w:themeShade="BF"/>
          <w:sz w:val="18"/>
          <w:szCs w:val="18"/>
        </w:rPr>
        <w:t>18 250.92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r>
      <w:r w:rsidR="00FA1547">
        <w:rPr>
          <w:rFonts w:ascii="Arial" w:hAnsi="Arial" w:cs="Arial"/>
          <w:color w:val="17365D" w:themeColor="text2" w:themeShade="BF"/>
          <w:sz w:val="18"/>
          <w:szCs w:val="18"/>
        </w:rPr>
        <w:t>18 250.92</w:t>
      </w: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Default="00B77802" w:rsidP="00B77802">
      <w:pPr>
        <w:autoSpaceDE w:val="0"/>
        <w:autoSpaceDN w:val="0"/>
        <w:adjustRightInd w:val="0"/>
        <w:ind w:left="5100"/>
        <w:jc w:val="right"/>
        <w:rPr>
          <w:b/>
          <w:color w:val="17365D" w:themeColor="text2" w:themeShade="BF"/>
          <w:sz w:val="28"/>
          <w:szCs w:val="28"/>
        </w:rPr>
      </w:pPr>
      <w:r w:rsidRPr="00B77802">
        <w:rPr>
          <w:b/>
          <w:color w:val="17365D" w:themeColor="text2" w:themeShade="BF"/>
          <w:sz w:val="28"/>
          <w:szCs w:val="28"/>
        </w:rPr>
        <w:t xml:space="preserve">Total HT € : </w:t>
      </w:r>
      <w:r w:rsidR="00FA1547">
        <w:rPr>
          <w:b/>
          <w:color w:val="17365D" w:themeColor="text2" w:themeShade="BF"/>
          <w:sz w:val="28"/>
          <w:szCs w:val="28"/>
        </w:rPr>
        <w:t>18 250.92</w:t>
      </w:r>
      <w:r w:rsidRPr="00B77802">
        <w:rPr>
          <w:b/>
          <w:color w:val="17365D" w:themeColor="text2" w:themeShade="BF"/>
          <w:sz w:val="28"/>
          <w:szCs w:val="28"/>
        </w:rPr>
        <w:t xml:space="preserve"> EUR</w:t>
      </w:r>
    </w:p>
    <w:p w:rsidR="00B77802" w:rsidRPr="00B77802" w:rsidRDefault="00B77802" w:rsidP="00B77802">
      <w:pPr>
        <w:autoSpaceDE w:val="0"/>
        <w:autoSpaceDN w:val="0"/>
        <w:adjustRightInd w:val="0"/>
        <w:ind w:left="5100"/>
        <w:jc w:val="right"/>
        <w:rPr>
          <w:b/>
          <w:color w:val="17365D" w:themeColor="text2" w:themeShade="BF"/>
          <w:sz w:val="28"/>
          <w:szCs w:val="28"/>
        </w:rPr>
      </w:pP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color w:val="17365D" w:themeColor="text2" w:themeShade="BF"/>
          <w:sz w:val="18"/>
          <w:szCs w:val="18"/>
        </w:rPr>
        <w:t xml:space="preserve">TVA 20% : </w:t>
      </w:r>
      <w:r w:rsidR="00FA1547">
        <w:rPr>
          <w:color w:val="17365D" w:themeColor="text2" w:themeShade="BF"/>
          <w:sz w:val="18"/>
          <w:szCs w:val="18"/>
        </w:rPr>
        <w:t>3 650.18</w:t>
      </w:r>
      <w:r w:rsidRPr="00B77802">
        <w:rPr>
          <w:color w:val="17365D" w:themeColor="text2" w:themeShade="BF"/>
          <w:sz w:val="18"/>
          <w:szCs w:val="18"/>
        </w:rPr>
        <w:t xml:space="preserve"> EUR</w:t>
      </w: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b/>
          <w:bCs/>
          <w:color w:val="17365D" w:themeColor="text2" w:themeShade="BF"/>
          <w:sz w:val="18"/>
          <w:szCs w:val="18"/>
        </w:rPr>
        <w:t>TOTAL TTC €</w:t>
      </w:r>
      <w:r w:rsidRPr="00B77802">
        <w:rPr>
          <w:color w:val="17365D" w:themeColor="text2" w:themeShade="BF"/>
          <w:sz w:val="18"/>
          <w:szCs w:val="18"/>
        </w:rPr>
        <w:t xml:space="preserve"> : </w:t>
      </w:r>
      <w:r w:rsidR="00FA1547">
        <w:rPr>
          <w:color w:val="17365D" w:themeColor="text2" w:themeShade="BF"/>
          <w:sz w:val="18"/>
          <w:szCs w:val="18"/>
        </w:rPr>
        <w:t>21 901.10</w:t>
      </w:r>
      <w:r w:rsidRPr="00B77802">
        <w:rPr>
          <w:color w:val="17365D" w:themeColor="text2" w:themeShade="BF"/>
          <w:sz w:val="18"/>
          <w:szCs w:val="18"/>
        </w:rPr>
        <w:t xml:space="preserve"> EUR</w:t>
      </w:r>
    </w:p>
    <w:p w:rsidR="00EA16C7" w:rsidRPr="00B77802" w:rsidRDefault="00EA16C7" w:rsidP="00EA16C7">
      <w:pPr>
        <w:autoSpaceDE w:val="0"/>
        <w:autoSpaceDN w:val="0"/>
        <w:adjustRightInd w:val="0"/>
        <w:rPr>
          <w:rFonts w:ascii="Calibri" w:hAnsi="Calibri"/>
          <w:b/>
          <w:color w:val="17365D" w:themeColor="text2" w:themeShade="BF"/>
        </w:rPr>
      </w:pPr>
    </w:p>
    <w:p w:rsidR="00264105" w:rsidRDefault="00264105" w:rsidP="00232A79">
      <w:pPr>
        <w:pStyle w:val="Default"/>
        <w:rPr>
          <w:b/>
          <w:bCs/>
          <w:color w:val="365F91" w:themeColor="accent1" w:themeShade="BF"/>
          <w:sz w:val="28"/>
          <w:szCs w:val="28"/>
          <w:u w:val="single"/>
        </w:rPr>
      </w:pPr>
    </w:p>
    <w:p w:rsidR="00264105" w:rsidRDefault="00264105" w:rsidP="00232A79">
      <w:pPr>
        <w:pStyle w:val="Default"/>
        <w:rPr>
          <w:b/>
          <w:bCs/>
          <w:color w:val="365F91" w:themeColor="accent1" w:themeShade="BF"/>
          <w:sz w:val="28"/>
          <w:szCs w:val="28"/>
          <w:u w:val="single"/>
        </w:rPr>
      </w:pPr>
    </w:p>
    <w:p w:rsidR="00232A79" w:rsidRPr="00307D6A" w:rsidRDefault="00264105" w:rsidP="00232A79">
      <w:pPr>
        <w:pStyle w:val="Default"/>
        <w:rPr>
          <w:b/>
          <w:bCs/>
          <w:color w:val="365F91" w:themeColor="accent1" w:themeShade="BF"/>
          <w:sz w:val="28"/>
          <w:szCs w:val="28"/>
          <w:u w:val="single"/>
        </w:rPr>
      </w:pPr>
      <w:r>
        <w:rPr>
          <w:b/>
          <w:bCs/>
          <w:color w:val="365F91" w:themeColor="accent1" w:themeShade="BF"/>
          <w:sz w:val="28"/>
          <w:szCs w:val="28"/>
          <w:u w:val="single"/>
        </w:rPr>
        <w:t>I</w:t>
      </w:r>
      <w:r w:rsidR="005D5F6F">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264105">
        <w:rPr>
          <w:rFonts w:cs="Wingdings"/>
          <w:color w:val="365F91" w:themeColor="accent1" w:themeShade="BF"/>
        </w:rPr>
        <w:t>30 JFDM</w:t>
      </w:r>
      <w:r w:rsidRPr="00307D6A">
        <w:rPr>
          <w:rFonts w:cs="Wingdings"/>
          <w:color w:val="365F91" w:themeColor="accent1" w:themeShade="BF"/>
        </w:rPr>
        <w:t xml:space="preserve">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264105">
        <w:rPr>
          <w:rFonts w:ascii="Calibri" w:hAnsi="Calibri" w:cs="Tahoma"/>
          <w:b/>
          <w:color w:val="365F91" w:themeColor="accent1" w:themeShade="BF"/>
        </w:rPr>
        <w:t>11 865.36</w:t>
      </w:r>
      <w:r w:rsidR="00B77802">
        <w:rPr>
          <w:rFonts w:ascii="Calibri" w:hAnsi="Calibri" w:cs="Tahoma"/>
          <w:b/>
          <w:color w:val="365F91" w:themeColor="accent1" w:themeShade="BF"/>
        </w:rPr>
        <w:t xml:space="preserve"> </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264105">
        <w:rPr>
          <w:rFonts w:ascii="Calibri" w:hAnsi="Calibri" w:cs="Tahoma"/>
          <w:color w:val="365F91" w:themeColor="accent1" w:themeShade="BF"/>
        </w:rPr>
        <w:t>548.06</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264105">
        <w:rPr>
          <w:rFonts w:ascii="Calibri" w:hAnsi="Calibri" w:cs="Tahoma"/>
          <w:color w:val="365F91" w:themeColor="accent1" w:themeShade="BF"/>
        </w:rPr>
        <w:t>388.12</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264105">
        <w:rPr>
          <w:rFonts w:ascii="Calibri" w:hAnsi="Calibri" w:cs="Tahoma"/>
          <w:color w:val="365F91" w:themeColor="accent1" w:themeShade="BF"/>
        </w:rPr>
        <w:t>308.62</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264105">
        <w:rPr>
          <w:rFonts w:cs="Tahoma"/>
          <w:color w:val="365F91" w:themeColor="accent1" w:themeShade="BF"/>
        </w:rPr>
        <w:t>252.26</w:t>
      </w:r>
      <w:r w:rsidR="0008522D">
        <w:rPr>
          <w:rFonts w:cs="Tahoma"/>
          <w:color w:val="365F91" w:themeColor="accent1" w:themeShade="BF"/>
        </w:rPr>
        <w:t xml:space="preserve">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264105">
        <w:rPr>
          <w:rFonts w:asciiTheme="minorHAnsi" w:hAnsiTheme="minorHAnsi" w:cs="Tahoma"/>
          <w:color w:val="365F91" w:themeColor="accent1" w:themeShade="BF"/>
          <w:sz w:val="24"/>
          <w:szCs w:val="24"/>
        </w:rPr>
        <w:t>René BRET</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r w:rsidR="00264105">
        <w:rPr>
          <w:rFonts w:asciiTheme="minorHAnsi" w:hAnsiTheme="minorHAnsi" w:cs="Tahoma"/>
          <w:color w:val="365F91" w:themeColor="accent1" w:themeShade="BF"/>
          <w:sz w:val="24"/>
          <w:szCs w:val="24"/>
        </w:rPr>
        <w:t>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FC4990" w:rsidRDefault="00F314DC"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DATA SHEE</w:t>
      </w:r>
      <w:r w:rsidR="00203436" w:rsidRPr="00FC4990">
        <w:rPr>
          <w:rFonts w:asciiTheme="minorHAnsi" w:hAnsiTheme="minorHAnsi" w:cs="Tahoma"/>
          <w:color w:val="365F91" w:themeColor="accent1" w:themeShade="BF"/>
          <w:sz w:val="24"/>
          <w:szCs w:val="24"/>
        </w:rPr>
        <w:t>T :</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CONDITIONS ASSURANCE BRIS MACHINE</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 xml:space="preserve">CONTRAT D’ENTRETIEN </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0A" w:rsidRDefault="008F030A" w:rsidP="00601B77">
      <w:r>
        <w:separator/>
      </w:r>
    </w:p>
  </w:endnote>
  <w:endnote w:type="continuationSeparator" w:id="0">
    <w:p w:rsidR="008F030A" w:rsidRDefault="008F030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0A" w:rsidRDefault="008F030A" w:rsidP="00601B77">
      <w:r>
        <w:separator/>
      </w:r>
    </w:p>
  </w:footnote>
  <w:footnote w:type="continuationSeparator" w:id="0">
    <w:p w:rsidR="008F030A" w:rsidRDefault="008F030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20868"/>
    <w:multiLevelType w:val="multilevel"/>
    <w:tmpl w:val="44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40880"/>
    <w:multiLevelType w:val="multilevel"/>
    <w:tmpl w:val="AF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
  </w:num>
  <w:num w:numId="5">
    <w:abstractNumId w:val="15"/>
  </w:num>
  <w:num w:numId="6">
    <w:abstractNumId w:val="0"/>
  </w:num>
  <w:num w:numId="7">
    <w:abstractNumId w:val="7"/>
  </w:num>
  <w:num w:numId="8">
    <w:abstractNumId w:val="14"/>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4594"/>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32A79"/>
    <w:rsid w:val="002343C9"/>
    <w:rsid w:val="00264105"/>
    <w:rsid w:val="00266670"/>
    <w:rsid w:val="002C57BB"/>
    <w:rsid w:val="002D784D"/>
    <w:rsid w:val="00300AD9"/>
    <w:rsid w:val="00307D6A"/>
    <w:rsid w:val="0035714B"/>
    <w:rsid w:val="00373B16"/>
    <w:rsid w:val="00391ECD"/>
    <w:rsid w:val="0039613F"/>
    <w:rsid w:val="003B5303"/>
    <w:rsid w:val="003B5D60"/>
    <w:rsid w:val="003C2DE8"/>
    <w:rsid w:val="003E0F3B"/>
    <w:rsid w:val="004148FF"/>
    <w:rsid w:val="0048566B"/>
    <w:rsid w:val="00487DA0"/>
    <w:rsid w:val="00495CAD"/>
    <w:rsid w:val="004A0C13"/>
    <w:rsid w:val="004A1ECC"/>
    <w:rsid w:val="004A3105"/>
    <w:rsid w:val="004C596B"/>
    <w:rsid w:val="004D215B"/>
    <w:rsid w:val="004D447D"/>
    <w:rsid w:val="004E5C4B"/>
    <w:rsid w:val="00502A68"/>
    <w:rsid w:val="00514DEA"/>
    <w:rsid w:val="00520076"/>
    <w:rsid w:val="00523550"/>
    <w:rsid w:val="00526129"/>
    <w:rsid w:val="00546B71"/>
    <w:rsid w:val="00550C97"/>
    <w:rsid w:val="005651C2"/>
    <w:rsid w:val="0058633F"/>
    <w:rsid w:val="00590E43"/>
    <w:rsid w:val="005924C1"/>
    <w:rsid w:val="005A5A92"/>
    <w:rsid w:val="005A5EBF"/>
    <w:rsid w:val="005C0881"/>
    <w:rsid w:val="005D5F6F"/>
    <w:rsid w:val="00601B77"/>
    <w:rsid w:val="00637F1E"/>
    <w:rsid w:val="006664FD"/>
    <w:rsid w:val="00671AC7"/>
    <w:rsid w:val="006932A5"/>
    <w:rsid w:val="006967A5"/>
    <w:rsid w:val="006A6D3D"/>
    <w:rsid w:val="0070003B"/>
    <w:rsid w:val="0070457A"/>
    <w:rsid w:val="007068A4"/>
    <w:rsid w:val="00712D03"/>
    <w:rsid w:val="00716FC3"/>
    <w:rsid w:val="007228A0"/>
    <w:rsid w:val="00735049"/>
    <w:rsid w:val="00741515"/>
    <w:rsid w:val="007601B2"/>
    <w:rsid w:val="00784557"/>
    <w:rsid w:val="0078603B"/>
    <w:rsid w:val="00797DBF"/>
    <w:rsid w:val="007A2C42"/>
    <w:rsid w:val="007C2796"/>
    <w:rsid w:val="007C2D4E"/>
    <w:rsid w:val="007C7E78"/>
    <w:rsid w:val="007E00FD"/>
    <w:rsid w:val="00800CE4"/>
    <w:rsid w:val="00802CBA"/>
    <w:rsid w:val="008145E9"/>
    <w:rsid w:val="00830534"/>
    <w:rsid w:val="008346ED"/>
    <w:rsid w:val="008548C6"/>
    <w:rsid w:val="00862BBF"/>
    <w:rsid w:val="00873C03"/>
    <w:rsid w:val="00876216"/>
    <w:rsid w:val="00884F7A"/>
    <w:rsid w:val="008A31EC"/>
    <w:rsid w:val="008C66C4"/>
    <w:rsid w:val="008E412B"/>
    <w:rsid w:val="008F030A"/>
    <w:rsid w:val="008F217B"/>
    <w:rsid w:val="009047AE"/>
    <w:rsid w:val="0093596F"/>
    <w:rsid w:val="0093774D"/>
    <w:rsid w:val="00942AEB"/>
    <w:rsid w:val="00945C0C"/>
    <w:rsid w:val="00972FC3"/>
    <w:rsid w:val="00A05B08"/>
    <w:rsid w:val="00A220FE"/>
    <w:rsid w:val="00A511C9"/>
    <w:rsid w:val="00A75493"/>
    <w:rsid w:val="00A905F7"/>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F0AD8"/>
    <w:rsid w:val="00BF6810"/>
    <w:rsid w:val="00C01ED7"/>
    <w:rsid w:val="00C025B6"/>
    <w:rsid w:val="00C11FAD"/>
    <w:rsid w:val="00C2568B"/>
    <w:rsid w:val="00C46F96"/>
    <w:rsid w:val="00C5215F"/>
    <w:rsid w:val="00C7680C"/>
    <w:rsid w:val="00C81179"/>
    <w:rsid w:val="00CB263D"/>
    <w:rsid w:val="00CB798B"/>
    <w:rsid w:val="00CD5FC2"/>
    <w:rsid w:val="00CF2634"/>
    <w:rsid w:val="00CF6B7C"/>
    <w:rsid w:val="00D103B0"/>
    <w:rsid w:val="00D12D75"/>
    <w:rsid w:val="00D27C20"/>
    <w:rsid w:val="00D91B54"/>
    <w:rsid w:val="00DE63E8"/>
    <w:rsid w:val="00DF33DA"/>
    <w:rsid w:val="00E15A21"/>
    <w:rsid w:val="00E53CFE"/>
    <w:rsid w:val="00E553CC"/>
    <w:rsid w:val="00E6046C"/>
    <w:rsid w:val="00E7624F"/>
    <w:rsid w:val="00EA16C7"/>
    <w:rsid w:val="00EB039E"/>
    <w:rsid w:val="00EB6967"/>
    <w:rsid w:val="00EC02C3"/>
    <w:rsid w:val="00EF0D27"/>
    <w:rsid w:val="00EF634B"/>
    <w:rsid w:val="00F03F45"/>
    <w:rsid w:val="00F13B9D"/>
    <w:rsid w:val="00F314DC"/>
    <w:rsid w:val="00F51034"/>
    <w:rsid w:val="00F5723A"/>
    <w:rsid w:val="00F87852"/>
    <w:rsid w:val="00FA1547"/>
    <w:rsid w:val="00FA369D"/>
    <w:rsid w:val="00FC4990"/>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 w:type="paragraph" w:customStyle="1" w:styleId="bodytext">
    <w:name w:val="bodytext"/>
    <w:basedOn w:val="Normal"/>
    <w:rsid w:val="007415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785091">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542525437">
      <w:bodyDiv w:val="1"/>
      <w:marLeft w:val="0"/>
      <w:marRight w:val="0"/>
      <w:marTop w:val="0"/>
      <w:marBottom w:val="0"/>
      <w:divBdr>
        <w:top w:val="none" w:sz="0" w:space="0" w:color="auto"/>
        <w:left w:val="none" w:sz="0" w:space="0" w:color="auto"/>
        <w:bottom w:val="none" w:sz="0" w:space="0" w:color="auto"/>
        <w:right w:val="none" w:sz="0" w:space="0" w:color="auto"/>
      </w:divBdr>
      <w:divsChild>
        <w:div w:id="1455979053">
          <w:marLeft w:val="0"/>
          <w:marRight w:val="0"/>
          <w:marTop w:val="0"/>
          <w:marBottom w:val="0"/>
          <w:divBdr>
            <w:top w:val="none" w:sz="0" w:space="0" w:color="auto"/>
            <w:left w:val="none" w:sz="0" w:space="0" w:color="auto"/>
            <w:bottom w:val="none" w:sz="0" w:space="0" w:color="auto"/>
            <w:right w:val="none" w:sz="0" w:space="0" w:color="auto"/>
          </w:divBdr>
        </w:div>
        <w:div w:id="1749646345">
          <w:marLeft w:val="0"/>
          <w:marRight w:val="0"/>
          <w:marTop w:val="0"/>
          <w:marBottom w:val="0"/>
          <w:divBdr>
            <w:top w:val="none" w:sz="0" w:space="0" w:color="auto"/>
            <w:left w:val="none" w:sz="0" w:space="0" w:color="auto"/>
            <w:bottom w:val="none" w:sz="0" w:space="0" w:color="auto"/>
            <w:right w:val="none" w:sz="0" w:space="0" w:color="auto"/>
          </w:divBdr>
          <w:divsChild>
            <w:div w:id="1211649519">
              <w:marLeft w:val="0"/>
              <w:marRight w:val="0"/>
              <w:marTop w:val="0"/>
              <w:marBottom w:val="0"/>
              <w:divBdr>
                <w:top w:val="none" w:sz="0" w:space="0" w:color="auto"/>
                <w:left w:val="none" w:sz="0" w:space="0" w:color="auto"/>
                <w:bottom w:val="none" w:sz="0" w:space="0" w:color="auto"/>
                <w:right w:val="none" w:sz="0" w:space="0" w:color="auto"/>
              </w:divBdr>
            </w:div>
            <w:div w:id="127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08F21-350D-4D93-A590-FEEBF295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12</cp:revision>
  <cp:lastPrinted>2015-02-26T10:40:00Z</cp:lastPrinted>
  <dcterms:created xsi:type="dcterms:W3CDTF">2015-09-17T09:31:00Z</dcterms:created>
  <dcterms:modified xsi:type="dcterms:W3CDTF">2015-10-01T13:14:00Z</dcterms:modified>
</cp:coreProperties>
</file>