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DF33DA" w:rsidRPr="00307D6A">
        <w:rPr>
          <w:rFonts w:asciiTheme="minorHAnsi" w:hAnsiTheme="minorHAnsi" w:cs="Tahoma"/>
          <w:b/>
          <w:color w:val="365F91" w:themeColor="accent1" w:themeShade="BF"/>
        </w:rPr>
        <w:t xml:space="preserve"> </w:t>
      </w:r>
      <w:r w:rsidR="003B5D60">
        <w:rPr>
          <w:rFonts w:asciiTheme="minorHAnsi" w:hAnsiTheme="minorHAnsi" w:cs="Tahoma"/>
          <w:b/>
          <w:color w:val="365F91" w:themeColor="accent1" w:themeShade="BF"/>
        </w:rPr>
        <w:t>SC2P</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F5723A" w:rsidRPr="00307D6A">
        <w:rPr>
          <w:rFonts w:asciiTheme="minorHAnsi" w:hAnsiTheme="minorHAnsi" w:cs="Tahoma"/>
          <w:color w:val="365F91" w:themeColor="accent1" w:themeShade="BF"/>
        </w:rPr>
        <w:tab/>
      </w:r>
      <w:r w:rsidR="003B5D60">
        <w:rPr>
          <w:rStyle w:val="st"/>
          <w:rFonts w:asciiTheme="minorHAnsi" w:hAnsiTheme="minorHAnsi"/>
          <w:color w:val="365F91" w:themeColor="accent1" w:themeShade="BF"/>
        </w:rPr>
        <w:t>1005 Route des Tuileries</w:t>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3B5D60">
        <w:rPr>
          <w:rFonts w:asciiTheme="minorHAnsi" w:hAnsiTheme="minorHAnsi" w:cs="Tahoma"/>
          <w:color w:val="365F91" w:themeColor="accent1" w:themeShade="BF"/>
        </w:rPr>
        <w:t>38160 CHATTE</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3B5D60">
        <w:rPr>
          <w:rFonts w:asciiTheme="minorHAnsi" w:hAnsiTheme="minorHAnsi" w:cs="Tahoma"/>
          <w:color w:val="365F91" w:themeColor="accent1" w:themeShade="BF"/>
        </w:rPr>
        <w:t>24/02/2015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3B5D60">
        <w:rPr>
          <w:rFonts w:asciiTheme="minorHAnsi" w:hAnsiTheme="minorHAnsi" w:cs="Tahoma"/>
          <w:color w:val="365F91" w:themeColor="accent1" w:themeShade="BF"/>
        </w:rPr>
        <w:t>PETREQUIN DOMINIQUE</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3B5D60">
        <w:rPr>
          <w:rFonts w:asciiTheme="minorHAnsi" w:hAnsiTheme="minorHAnsi" w:cs="Tahoma"/>
          <w:color w:val="365F91" w:themeColor="accent1" w:themeShade="BF"/>
          <w:u w:val="single"/>
        </w:rPr>
        <w:t>Compresseur d’air comprimé</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307D6A" w:rsidRDefault="00266670"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RS TOP 7.5 10 Bars</w:t>
      </w:r>
    </w:p>
    <w:p w:rsidR="00266670" w:rsidRPr="00307D6A" w:rsidRDefault="00266670" w:rsidP="00266670">
      <w:pPr>
        <w:rPr>
          <w:color w:val="365F91" w:themeColor="accent1" w:themeShade="BF"/>
        </w:rPr>
      </w:pPr>
    </w:p>
    <w:p w:rsidR="00EF634B" w:rsidRDefault="003B5303" w:rsidP="003B5D60">
      <w:pPr>
        <w:pStyle w:val="En-tte"/>
        <w:tabs>
          <w:tab w:val="left" w:pos="708"/>
        </w:tabs>
        <w:jc w:val="center"/>
        <w:rPr>
          <w:rFonts w:asciiTheme="minorHAnsi" w:hAnsiTheme="minorHAnsi" w:cs="Tahoma"/>
          <w:b/>
          <w:noProof/>
          <w:color w:val="365F91" w:themeColor="accent1" w:themeShade="BF"/>
        </w:rPr>
      </w:pPr>
      <w:r>
        <w:rPr>
          <w:rFonts w:asciiTheme="minorHAnsi" w:hAnsiTheme="minorHAnsi" w:cs="Tahoma"/>
          <w:b/>
          <w:noProof/>
          <w:color w:val="365F91" w:themeColor="accent1" w:themeShade="BF"/>
        </w:rPr>
        <w:drawing>
          <wp:anchor distT="0" distB="0" distL="114300" distR="114300" simplePos="0" relativeHeight="251673600" behindDoc="0" locked="0" layoutInCell="1" allowOverlap="1">
            <wp:simplePos x="0" y="0"/>
            <wp:positionH relativeFrom="column">
              <wp:posOffset>2190750</wp:posOffset>
            </wp:positionH>
            <wp:positionV relativeFrom="paragraph">
              <wp:posOffset>5080</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p>
    <w:p w:rsidR="00EF634B" w:rsidRDefault="00EF634B" w:rsidP="00EF634B">
      <w:pPr>
        <w:pStyle w:val="En-tte"/>
        <w:tabs>
          <w:tab w:val="left" w:pos="708"/>
        </w:tabs>
        <w:rPr>
          <w:rFonts w:asciiTheme="minorHAnsi" w:hAnsiTheme="minorHAnsi" w:cs="Tahoma"/>
          <w:b/>
          <w:noProof/>
          <w:color w:val="365F91" w:themeColor="accent1" w:themeShade="BF"/>
          <w:u w:val="single"/>
        </w:rPr>
      </w:pPr>
      <w:r w:rsidRPr="00EF634B">
        <w:rPr>
          <w:rFonts w:asciiTheme="minorHAnsi" w:hAnsiTheme="minorHAnsi" w:cs="Tahoma"/>
          <w:b/>
          <w:noProof/>
          <w:color w:val="365F91" w:themeColor="accent1" w:themeShade="BF"/>
          <w:u w:val="single"/>
        </w:rPr>
        <w:t>Les avantages :</w:t>
      </w:r>
    </w:p>
    <w:p w:rsidR="00EF634B" w:rsidRPr="00EF634B" w:rsidRDefault="00EF634B" w:rsidP="00EF634B">
      <w:pPr>
        <w:pStyle w:val="En-tte"/>
        <w:tabs>
          <w:tab w:val="left" w:pos="708"/>
        </w:tabs>
        <w:rPr>
          <w:rFonts w:asciiTheme="minorHAnsi" w:hAnsiTheme="minorHAnsi" w:cs="Tahoma"/>
          <w:b/>
          <w:noProof/>
          <w:color w:val="365F91" w:themeColor="accent1" w:themeShade="BF"/>
          <w:u w:val="single"/>
        </w:rPr>
      </w:pP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Plus petit</w:t>
      </w:r>
      <w:r w:rsidRPr="00EF634B">
        <w:rPr>
          <w:rFonts w:asciiTheme="minorHAnsi" w:hAnsiTheme="minorHAnsi"/>
          <w:color w:val="1F497D" w:themeColor="text2"/>
        </w:rPr>
        <w:t>. La machine a un encombrement au sol limité.</w:t>
      </w: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color w:val="1F497D" w:themeColor="text2"/>
        </w:rPr>
        <w:t xml:space="preserve"> La tension de la courroie s'effectue désormais à l'aide du montage</w:t>
      </w:r>
      <w:r w:rsidR="00E7624F">
        <w:rPr>
          <w:rFonts w:asciiTheme="minorHAnsi" w:hAnsiTheme="minorHAnsi"/>
          <w:color w:val="1F497D" w:themeColor="text2"/>
        </w:rPr>
        <w:t xml:space="preserve"> </w:t>
      </w:r>
      <w:r w:rsidRPr="00EF634B">
        <w:rPr>
          <w:rFonts w:asciiTheme="minorHAnsi" w:hAnsiTheme="minorHAnsi"/>
          <w:color w:val="1F497D" w:themeColor="text2"/>
        </w:rPr>
        <w:t xml:space="preserve"> moteur sur platine basculante. </w:t>
      </w: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color w:val="1F497D" w:themeColor="text2"/>
        </w:rPr>
        <w:t xml:space="preserve">Annulation du dispositif tendeur de la courroie. </w:t>
      </w: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color w:val="1F497D" w:themeColor="text2"/>
        </w:rPr>
        <w:t>L'amélioration de l'enroulement de la courroie sur la poulie permet</w:t>
      </w:r>
      <w:r w:rsidR="0093774D">
        <w:rPr>
          <w:rFonts w:asciiTheme="minorHAnsi" w:hAnsiTheme="minorHAnsi"/>
          <w:color w:val="1F497D" w:themeColor="text2"/>
        </w:rPr>
        <w:t xml:space="preserve"> </w:t>
      </w:r>
      <w:r w:rsidRPr="00EF634B">
        <w:rPr>
          <w:rFonts w:asciiTheme="minorHAnsi" w:hAnsiTheme="minorHAnsi"/>
          <w:color w:val="1F497D" w:themeColor="text2"/>
        </w:rPr>
        <w:t xml:space="preserve"> une meilleure transmission de puissance. </w:t>
      </w:r>
    </w:p>
    <w:p w:rsidR="00EF634B" w:rsidRDefault="00EF634B" w:rsidP="00203436">
      <w:pPr>
        <w:pStyle w:val="En-tte"/>
        <w:tabs>
          <w:tab w:val="left" w:pos="708"/>
        </w:tabs>
        <w:rPr>
          <w:rFonts w:asciiTheme="minorHAnsi" w:hAnsiTheme="minorHAnsi"/>
          <w:color w:val="1F497D" w:themeColor="text2"/>
        </w:rPr>
      </w:pP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Plus silencieux</w:t>
      </w:r>
      <w:r w:rsidRPr="00EF634B">
        <w:rPr>
          <w:rFonts w:asciiTheme="minorHAnsi" w:hAnsiTheme="minorHAnsi"/>
          <w:color w:val="1F497D" w:themeColor="text2"/>
        </w:rPr>
        <w:t>. Utilisation d'une courroie trapézoïdale enrobée afin de</w:t>
      </w:r>
      <w:r w:rsidR="0093774D">
        <w:rPr>
          <w:rFonts w:asciiTheme="minorHAnsi" w:hAnsiTheme="minorHAnsi"/>
          <w:color w:val="1F497D" w:themeColor="text2"/>
        </w:rPr>
        <w:t xml:space="preserve"> </w:t>
      </w:r>
      <w:r w:rsidRPr="00EF634B">
        <w:rPr>
          <w:rFonts w:asciiTheme="minorHAnsi" w:hAnsiTheme="minorHAnsi"/>
          <w:color w:val="1F497D" w:themeColor="text2"/>
        </w:rPr>
        <w:t xml:space="preserve"> réduire considérablement le bruit de fonctionnement. </w:t>
      </w:r>
    </w:p>
    <w:p w:rsidR="00EF634B" w:rsidRDefault="00EF634B" w:rsidP="00203436">
      <w:pPr>
        <w:pStyle w:val="En-tte"/>
        <w:tabs>
          <w:tab w:val="left" w:pos="708"/>
        </w:tabs>
        <w:rPr>
          <w:rFonts w:asciiTheme="minorHAnsi" w:hAnsiTheme="minorHAnsi"/>
          <w:color w:val="1F497D" w:themeColor="text2"/>
        </w:rPr>
      </w:pP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Plus facile d'entretien</w:t>
      </w:r>
      <w:r w:rsidRPr="00EF634B">
        <w:rPr>
          <w:rFonts w:asciiTheme="minorHAnsi" w:hAnsiTheme="minorHAnsi"/>
          <w:color w:val="1F497D" w:themeColor="text2"/>
        </w:rPr>
        <w:t>. Optimisation de la fixation de la vanne de</w:t>
      </w:r>
      <w:r w:rsidR="0093774D">
        <w:rPr>
          <w:rFonts w:asciiTheme="minorHAnsi" w:hAnsiTheme="minorHAnsi"/>
          <w:color w:val="1F497D" w:themeColor="text2"/>
        </w:rPr>
        <w:t xml:space="preserve"> </w:t>
      </w:r>
      <w:r w:rsidRPr="00EF634B">
        <w:rPr>
          <w:rFonts w:asciiTheme="minorHAnsi" w:hAnsiTheme="minorHAnsi"/>
          <w:color w:val="1F497D" w:themeColor="text2"/>
        </w:rPr>
        <w:t xml:space="preserve"> régulation d'huile. Utilisation exclusive </w:t>
      </w:r>
      <w:r w:rsidR="0093774D" w:rsidRPr="00EF634B">
        <w:rPr>
          <w:rFonts w:asciiTheme="minorHAnsi" w:hAnsiTheme="minorHAnsi"/>
          <w:color w:val="1F497D" w:themeColor="text2"/>
        </w:rPr>
        <w:t>des flexibles hautes températures</w:t>
      </w:r>
      <w:r w:rsidRPr="00EF634B">
        <w:rPr>
          <w:rFonts w:asciiTheme="minorHAnsi" w:hAnsiTheme="minorHAnsi"/>
          <w:color w:val="1F497D" w:themeColor="text2"/>
        </w:rPr>
        <w:t xml:space="preserve">. </w:t>
      </w:r>
    </w:p>
    <w:p w:rsidR="00EF634B" w:rsidRDefault="00EF634B" w:rsidP="00203436">
      <w:pPr>
        <w:pStyle w:val="En-tte"/>
        <w:tabs>
          <w:tab w:val="left" w:pos="708"/>
        </w:tabs>
        <w:rPr>
          <w:rFonts w:asciiTheme="minorHAnsi" w:hAnsiTheme="minorHAnsi"/>
          <w:color w:val="1F497D" w:themeColor="text2"/>
        </w:rPr>
      </w:pP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Une garantie</w:t>
      </w:r>
      <w:r w:rsidRPr="00EF634B">
        <w:rPr>
          <w:rFonts w:asciiTheme="minorHAnsi" w:hAnsiTheme="minorHAnsi"/>
          <w:color w:val="1F497D" w:themeColor="text2"/>
        </w:rPr>
        <w:t xml:space="preserve"> totale de fonctionnement de deux ans.</w:t>
      </w:r>
    </w:p>
    <w:p w:rsidR="00EF634B" w:rsidRDefault="00EF634B" w:rsidP="00203436">
      <w:pPr>
        <w:pStyle w:val="En-tte"/>
        <w:tabs>
          <w:tab w:val="left" w:pos="708"/>
        </w:tabs>
        <w:rPr>
          <w:rFonts w:asciiTheme="minorHAnsi" w:hAnsiTheme="minorHAnsi"/>
          <w:color w:val="1F497D" w:themeColor="text2"/>
        </w:rPr>
      </w:pP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 xml:space="preserve"> Bloc de compression compact</w:t>
      </w:r>
      <w:r w:rsidRPr="00EF634B">
        <w:rPr>
          <w:rFonts w:asciiTheme="minorHAnsi" w:hAnsiTheme="minorHAnsi"/>
          <w:color w:val="1F497D" w:themeColor="text2"/>
        </w:rPr>
        <w:t xml:space="preserve">: suppression des conduits et des raccords, sources habituelles de pannes. Un réservoir déshuileur séparé n'est plus nécessaire et une homologation par le service des mines n'est plus obligatoire. </w:t>
      </w:r>
    </w:p>
    <w:p w:rsid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 xml:space="preserve"> Panneaux facilement démontables</w:t>
      </w:r>
      <w:r w:rsidRPr="00EF634B">
        <w:rPr>
          <w:rFonts w:asciiTheme="minorHAnsi" w:hAnsiTheme="minorHAnsi"/>
          <w:color w:val="1F497D" w:themeColor="text2"/>
        </w:rPr>
        <w:t xml:space="preserve">: c'est-à-dire une accessibilité optimale lors des opérations de maintenance et de service, réduisant les coûts pour l'utilisateur. </w:t>
      </w:r>
    </w:p>
    <w:p w:rsidR="00203436" w:rsidRPr="00EF634B" w:rsidRDefault="00203436" w:rsidP="00203436">
      <w:pPr>
        <w:pStyle w:val="En-tte"/>
        <w:tabs>
          <w:tab w:val="left" w:pos="708"/>
        </w:tabs>
        <w:rPr>
          <w:rFonts w:asciiTheme="minorHAnsi" w:hAnsiTheme="minorHAnsi"/>
          <w:color w:val="1F497D" w:themeColor="text2"/>
        </w:rPr>
      </w:pPr>
      <w:r w:rsidRPr="00EF634B">
        <w:rPr>
          <w:rFonts w:asciiTheme="minorHAnsi" w:hAnsiTheme="minorHAnsi"/>
          <w:b/>
          <w:color w:val="1F497D" w:themeColor="text2"/>
        </w:rPr>
        <w:t>Utilisation de composants standardisés et de haute qualité</w:t>
      </w:r>
      <w:r w:rsidRPr="00EF634B">
        <w:rPr>
          <w:rFonts w:asciiTheme="minorHAnsi" w:hAnsiTheme="minorHAnsi"/>
          <w:color w:val="1F497D" w:themeColor="text2"/>
        </w:rPr>
        <w:t>: approvisionnés auprès de fabricants reconnus et compétents, situés à proximité du lieu de production.</w:t>
      </w: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3B5303" w:rsidP="003B5D60">
      <w:pPr>
        <w:pStyle w:val="En-tte"/>
        <w:tabs>
          <w:tab w:val="left" w:pos="708"/>
        </w:tabs>
        <w:jc w:val="center"/>
        <w:rPr>
          <w:rFonts w:asciiTheme="minorHAnsi" w:hAnsiTheme="minorHAnsi" w:cs="Tahoma"/>
          <w:b/>
          <w:noProof/>
          <w:color w:val="365F91" w:themeColor="accent1" w:themeShade="BF"/>
        </w:rPr>
      </w:pPr>
      <w:r>
        <w:rPr>
          <w:rFonts w:asciiTheme="minorHAnsi" w:hAnsiTheme="minorHAnsi" w:cs="Tahoma"/>
          <w:b/>
          <w:noProof/>
          <w:color w:val="365F91" w:themeColor="accent1" w:themeShade="BF"/>
        </w:rPr>
        <w:drawing>
          <wp:anchor distT="0" distB="0" distL="114300" distR="114300" simplePos="0" relativeHeight="251676672" behindDoc="0" locked="0" layoutInCell="1" allowOverlap="1">
            <wp:simplePos x="0" y="0"/>
            <wp:positionH relativeFrom="column">
              <wp:posOffset>1866900</wp:posOffset>
            </wp:positionH>
            <wp:positionV relativeFrom="paragraph">
              <wp:posOffset>16510</wp:posOffset>
            </wp:positionV>
            <wp:extent cx="5105400" cy="1276350"/>
            <wp:effectExtent l="19050" t="0" r="0" b="0"/>
            <wp:wrapNone/>
            <wp:docPr id="23" name="Image 5" descr="D:\Compte SFACS\Desktop\rs top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mpte SFACS\Desktop\rs top 7.5.jpg"/>
                    <pic:cNvPicPr>
                      <a:picLocks noChangeAspect="1" noChangeArrowheads="1"/>
                    </pic:cNvPicPr>
                  </pic:nvPicPr>
                  <pic:blipFill>
                    <a:blip r:embed="rId9" cstate="print"/>
                    <a:srcRect/>
                    <a:stretch>
                      <a:fillRect/>
                    </a:stretch>
                  </pic:blipFill>
                  <pic:spPr bwMode="auto">
                    <a:xfrm>
                      <a:off x="0" y="0"/>
                      <a:ext cx="5105400" cy="1276350"/>
                    </a:xfrm>
                    <a:prstGeom prst="rect">
                      <a:avLst/>
                    </a:prstGeom>
                    <a:noFill/>
                    <a:ln w="9525">
                      <a:noFill/>
                      <a:miter lim="800000"/>
                      <a:headEnd/>
                      <a:tailEnd/>
                    </a:ln>
                  </pic:spPr>
                </pic:pic>
              </a:graphicData>
            </a:graphic>
          </wp:anchor>
        </w:drawing>
      </w:r>
      <w:r w:rsidR="00B01644">
        <w:rPr>
          <w:rFonts w:asciiTheme="minorHAnsi" w:hAnsiTheme="minorHAnsi" w:cs="Tahoma"/>
          <w:b/>
          <w:noProof/>
          <w:color w:val="365F91" w:themeColor="accent1" w:themeShade="BF"/>
        </w:rPr>
        <w:drawing>
          <wp:anchor distT="0" distB="0" distL="114300" distR="114300" simplePos="0" relativeHeight="251675648" behindDoc="0" locked="0" layoutInCell="1" allowOverlap="1">
            <wp:simplePos x="0" y="0"/>
            <wp:positionH relativeFrom="column">
              <wp:posOffset>-38100</wp:posOffset>
            </wp:positionH>
            <wp:positionV relativeFrom="paragraph">
              <wp:posOffset>15874</wp:posOffset>
            </wp:positionV>
            <wp:extent cx="1905000" cy="2805733"/>
            <wp:effectExtent l="19050" t="0" r="0" b="0"/>
            <wp:wrapNone/>
            <wp:docPr id="17" name="Image 2" descr="http://www.pfeiffer-werkzeuge.de/shopdata/images400x400/F939123.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feiffer-werkzeuge.de/shopdata/images400x400/F939123.0100.jpg"/>
                    <pic:cNvPicPr>
                      <a:picLocks noChangeAspect="1" noChangeArrowheads="1"/>
                    </pic:cNvPicPr>
                  </pic:nvPicPr>
                  <pic:blipFill>
                    <a:blip r:embed="rId10" cstate="print"/>
                    <a:srcRect/>
                    <a:stretch>
                      <a:fillRect/>
                    </a:stretch>
                  </pic:blipFill>
                  <pic:spPr bwMode="auto">
                    <a:xfrm>
                      <a:off x="0" y="0"/>
                      <a:ext cx="1905000" cy="2805733"/>
                    </a:xfrm>
                    <a:prstGeom prst="rect">
                      <a:avLst/>
                    </a:prstGeom>
                    <a:noFill/>
                    <a:ln w="9525">
                      <a:noFill/>
                      <a:miter lim="800000"/>
                      <a:headEnd/>
                      <a:tailEnd/>
                    </a:ln>
                  </pic:spPr>
                </pic:pic>
              </a:graphicData>
            </a:graphic>
          </wp:anchor>
        </w:drawing>
      </w: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3B5D60" w:rsidRDefault="003B5D60" w:rsidP="00266670">
      <w:pPr>
        <w:pStyle w:val="En-tte"/>
        <w:tabs>
          <w:tab w:val="left" w:pos="708"/>
        </w:tabs>
        <w:rPr>
          <w:rFonts w:asciiTheme="minorHAnsi" w:hAnsiTheme="minorHAnsi" w:cs="Tahoma"/>
          <w:b/>
          <w:noProof/>
          <w:color w:val="365F91" w:themeColor="accent1" w:themeShade="BF"/>
        </w:rPr>
      </w:pP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EF634B">
        <w:rPr>
          <w:rFonts w:asciiTheme="minorHAnsi" w:hAnsiTheme="minorHAnsi" w:cs="Tahoma"/>
          <w:b/>
          <w:color w:val="365F91" w:themeColor="accent1" w:themeShade="BF"/>
        </w:rPr>
        <w:t>3 737.00</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3B5303" w:rsidRDefault="003B5303" w:rsidP="00514DEA">
      <w:pPr>
        <w:pStyle w:val="En-tte"/>
        <w:tabs>
          <w:tab w:val="left" w:pos="708"/>
        </w:tabs>
        <w:rPr>
          <w:rFonts w:asciiTheme="minorHAnsi" w:hAnsiTheme="minorHAnsi" w:cs="Tahoma"/>
          <w:b/>
          <w:color w:val="365F91" w:themeColor="accent1" w:themeShade="BF"/>
        </w:rPr>
      </w:pPr>
    </w:p>
    <w:p w:rsidR="003B5303" w:rsidRDefault="003B5303" w:rsidP="00514DEA">
      <w:pPr>
        <w:pStyle w:val="En-tte"/>
        <w:tabs>
          <w:tab w:val="left" w:pos="708"/>
        </w:tabs>
        <w:rPr>
          <w:rFonts w:asciiTheme="minorHAnsi" w:hAnsiTheme="minorHAnsi" w:cs="Tahoma"/>
          <w:b/>
          <w:color w:val="365F91" w:themeColor="accent1" w:themeShade="BF"/>
        </w:rPr>
      </w:pPr>
    </w:p>
    <w:p w:rsidR="0093774D" w:rsidRDefault="0093774D" w:rsidP="00514DEA">
      <w:pPr>
        <w:pStyle w:val="En-tte"/>
        <w:tabs>
          <w:tab w:val="left" w:pos="708"/>
        </w:tabs>
        <w:rPr>
          <w:rFonts w:asciiTheme="minorHAnsi" w:hAnsiTheme="minorHAnsi" w:cs="Tahoma"/>
          <w:b/>
          <w:color w:val="365F91" w:themeColor="accent1" w:themeShade="BF"/>
        </w:rPr>
      </w:pPr>
    </w:p>
    <w:p w:rsidR="003B5303" w:rsidRDefault="003B5303" w:rsidP="00514DEA">
      <w:pPr>
        <w:pStyle w:val="En-tte"/>
        <w:tabs>
          <w:tab w:val="left" w:pos="708"/>
        </w:tabs>
        <w:rPr>
          <w:rFonts w:asciiTheme="minorHAnsi" w:hAnsiTheme="minorHAnsi" w:cs="Tahoma"/>
          <w:b/>
          <w:color w:val="365F91" w:themeColor="accent1" w:themeShade="BF"/>
        </w:rPr>
      </w:pPr>
    </w:p>
    <w:p w:rsidR="00514DEA" w:rsidRPr="00307D6A" w:rsidRDefault="003B5303"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lastRenderedPageBreak/>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3B5303" w:rsidRDefault="00514DEA" w:rsidP="00945C0C">
      <w:pPr>
        <w:pStyle w:val="Paragraphedeliste"/>
        <w:numPr>
          <w:ilvl w:val="0"/>
          <w:numId w:val="7"/>
        </w:numPr>
        <w:rPr>
          <w:rFonts w:asciiTheme="minorHAnsi" w:hAnsiTheme="minorHAnsi" w:cs="Tahoma"/>
          <w:color w:val="365F91" w:themeColor="accent1" w:themeShade="BF"/>
        </w:rPr>
      </w:pPr>
      <w:r w:rsidRPr="003B5303">
        <w:rPr>
          <w:rFonts w:asciiTheme="minorHAnsi" w:hAnsiTheme="minorHAnsi" w:cs="Tahoma"/>
          <w:color w:val="365F91" w:themeColor="accent1" w:themeShade="BF"/>
        </w:rPr>
        <w:t>Fournitures électriques</w:t>
      </w:r>
      <w:r w:rsidR="00C01ED7" w:rsidRPr="003B5303">
        <w:rPr>
          <w:rFonts w:asciiTheme="minorHAnsi" w:hAnsiTheme="minorHAnsi" w:cs="Tahoma"/>
          <w:color w:val="365F91" w:themeColor="accent1" w:themeShade="BF"/>
        </w:rPr>
        <w:t xml:space="preserve"> et pose</w:t>
      </w:r>
      <w:r w:rsidR="003B5303">
        <w:rPr>
          <w:rFonts w:asciiTheme="minorHAnsi" w:hAnsiTheme="minorHAnsi" w:cs="Tahoma"/>
          <w:color w:val="365F91" w:themeColor="accent1" w:themeShade="BF"/>
        </w:rPr>
        <w:t xml:space="preserve"> </w:t>
      </w:r>
      <w:proofErr w:type="gramStart"/>
      <w:r w:rsidR="003B5303">
        <w:rPr>
          <w:rFonts w:asciiTheme="minorHAnsi" w:hAnsiTheme="minorHAnsi" w:cs="Tahoma"/>
          <w:color w:val="365F91" w:themeColor="accent1" w:themeShade="BF"/>
        </w:rPr>
        <w:t>( sectionneur</w:t>
      </w:r>
      <w:proofErr w:type="gramEnd"/>
      <w:r w:rsidR="003B5303">
        <w:rPr>
          <w:rFonts w:asciiTheme="minorHAnsi" w:hAnsiTheme="minorHAnsi" w:cs="Tahoma"/>
          <w:color w:val="365F91" w:themeColor="accent1" w:themeShade="BF"/>
        </w:rPr>
        <w:t xml:space="preserve"> de proximité + 5metres 5G4 )</w:t>
      </w:r>
    </w:p>
    <w:p w:rsidR="00077B23"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Branchements électriques</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514DEA" w:rsidRPr="00307D6A" w:rsidRDefault="00514DEA" w:rsidP="00514DEA">
      <w:pPr>
        <w:rPr>
          <w:rFonts w:asciiTheme="minorHAnsi" w:hAnsiTheme="minorHAnsi" w:cs="Tahoma"/>
          <w:color w:val="365F91" w:themeColor="accent1" w:themeShade="BF"/>
        </w:rPr>
      </w:pPr>
    </w:p>
    <w:p w:rsidR="00514DEA" w:rsidRPr="00307D6A" w:rsidRDefault="00C81179" w:rsidP="00514DEA">
      <w:pPr>
        <w:rPr>
          <w:rFonts w:asciiTheme="minorHAnsi" w:hAnsiTheme="minorHAnsi" w:cs="Tahoma"/>
          <w:b/>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C025B6" w:rsidRPr="00307D6A">
        <w:rPr>
          <w:rFonts w:asciiTheme="minorHAnsi" w:hAnsiTheme="minorHAnsi" w:cs="Tahoma"/>
          <w:b/>
          <w:color w:val="365F91" w:themeColor="accent1" w:themeShade="BF"/>
          <w:u w:val="single"/>
        </w:rPr>
        <w:t>PU NET HT FRANCO</w:t>
      </w:r>
      <w:r w:rsidR="00FD5B57" w:rsidRPr="00307D6A">
        <w:rPr>
          <w:rFonts w:asciiTheme="minorHAnsi" w:hAnsiTheme="minorHAnsi" w:cs="Tahoma"/>
          <w:b/>
          <w:color w:val="365F91" w:themeColor="accent1" w:themeShade="BF"/>
        </w:rPr>
        <w:t xml:space="preserve">    </w:t>
      </w:r>
      <w:r w:rsidR="00F03F45" w:rsidRPr="00307D6A">
        <w:rPr>
          <w:rFonts w:asciiTheme="minorHAnsi" w:hAnsiTheme="minorHAnsi" w:cs="Tahoma"/>
          <w:b/>
          <w:color w:val="365F91" w:themeColor="accent1" w:themeShade="BF"/>
        </w:rPr>
        <w:t xml:space="preserve"> </w:t>
      </w:r>
      <w:r w:rsidR="003B5303">
        <w:rPr>
          <w:rFonts w:asciiTheme="minorHAnsi" w:hAnsiTheme="minorHAnsi" w:cs="Tahoma"/>
          <w:b/>
          <w:color w:val="365F91" w:themeColor="accent1" w:themeShade="BF"/>
        </w:rPr>
        <w:t xml:space="preserve">587.60 </w:t>
      </w:r>
      <w:r w:rsidR="00FD5B57" w:rsidRPr="00307D6A">
        <w:rPr>
          <w:rFonts w:asciiTheme="minorHAnsi" w:hAnsiTheme="minorHAnsi" w:cs="Tahoma"/>
          <w:b/>
          <w:color w:val="365F91" w:themeColor="accent1" w:themeShade="BF"/>
        </w:rPr>
        <w:t>€</w:t>
      </w:r>
      <w:r w:rsidR="00945C0C" w:rsidRPr="00307D6A">
        <w:rPr>
          <w:rFonts w:asciiTheme="minorHAnsi" w:hAnsiTheme="minorHAnsi" w:cs="Tahoma"/>
          <w:b/>
          <w:color w:val="365F91" w:themeColor="accent1" w:themeShade="BF"/>
        </w:rPr>
        <w:t xml:space="preserve"> HT</w:t>
      </w:r>
    </w:p>
    <w:p w:rsidR="008F217B" w:rsidRPr="00307D6A" w:rsidRDefault="00FD5B57"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w:t>
      </w:r>
      <w:r w:rsidR="00C81179"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C01ED7" w:rsidRPr="00307D6A">
        <w:rPr>
          <w:rFonts w:asciiTheme="minorHAnsi" w:hAnsiTheme="minorHAnsi" w:cs="Tahoma"/>
          <w:i w:val="0"/>
          <w:color w:val="365F91" w:themeColor="accent1" w:themeShade="BF"/>
          <w:sz w:val="28"/>
          <w:szCs w:val="28"/>
          <w:u w:val="single"/>
        </w:rPr>
        <w:t>I</w:t>
      </w:r>
      <w:r w:rsidR="00BB6067" w:rsidRPr="00307D6A">
        <w:rPr>
          <w:rFonts w:asciiTheme="minorHAnsi" w:hAnsiTheme="minorHAnsi" w:cs="Tahoma"/>
          <w:i w:val="0"/>
          <w:color w:val="365F91" w:themeColor="accent1" w:themeShade="BF"/>
          <w:sz w:val="28"/>
          <w:szCs w:val="28"/>
          <w:u w:val="single"/>
        </w:rPr>
        <w:t>I</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102547" w:rsidRPr="00C46F96" w:rsidRDefault="000C7082" w:rsidP="00C46F96">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s="Tahoma"/>
          <w:color w:val="365F91" w:themeColor="accent1" w:themeShade="BF"/>
        </w:rPr>
        <w:t>Si LOA possibilité de garantie bris de machine durant la durée du financement</w:t>
      </w: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102547" w:rsidRPr="00C46F96" w:rsidRDefault="00102547" w:rsidP="00C46F96">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102547" w:rsidRPr="00C46F96" w:rsidRDefault="00EC02C3"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Pr>
          <w:rFonts w:asciiTheme="minorHAnsi" w:hAnsiTheme="minorHAnsi" w:cs="Tahoma"/>
          <w:color w:val="365F91" w:themeColor="accent1" w:themeShade="BF"/>
        </w:rPr>
        <w:t xml:space="preserve">Autres matériels garantie fabricant </w:t>
      </w:r>
    </w:p>
    <w:p w:rsidR="00C46F96" w:rsidRPr="00C46F96" w:rsidRDefault="00C46F96" w:rsidP="00C46F96">
      <w:pPr>
        <w:pStyle w:val="Paragraphedeliste"/>
        <w:rPr>
          <w:rFonts w:asciiTheme="minorHAnsi" w:hAnsiTheme="minorHAnsi"/>
          <w:color w:val="365F91" w:themeColor="accent1" w:themeShade="BF"/>
        </w:rPr>
      </w:pP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C46F96" w:rsidRDefault="00C46F96" w:rsidP="00EA16C7">
      <w:pPr>
        <w:jc w:val="both"/>
        <w:rPr>
          <w:rFonts w:ascii="Calibri" w:hAnsi="Calibri"/>
          <w:b/>
          <w:color w:val="365F91" w:themeColor="accent1" w:themeShade="BF"/>
          <w:sz w:val="28"/>
          <w:szCs w:val="28"/>
          <w:u w:val="single"/>
        </w:rPr>
      </w:pPr>
    </w:p>
    <w:p w:rsidR="00C46F96" w:rsidRDefault="00C46F96" w:rsidP="00EA16C7">
      <w:pPr>
        <w:jc w:val="both"/>
        <w:rPr>
          <w:rFonts w:ascii="Calibri" w:hAnsi="Calibri"/>
          <w:b/>
          <w:color w:val="365F91" w:themeColor="accent1" w:themeShade="BF"/>
          <w:sz w:val="28"/>
          <w:szCs w:val="28"/>
          <w:u w:val="single"/>
        </w:rPr>
      </w:pPr>
    </w:p>
    <w:p w:rsidR="00EA16C7" w:rsidRPr="00307D6A" w:rsidRDefault="00EA16C7" w:rsidP="00EA16C7">
      <w:pPr>
        <w:jc w:val="both"/>
        <w:rPr>
          <w:rFonts w:ascii="Calibri" w:hAnsi="Calibri"/>
          <w:b/>
          <w:color w:val="365F91" w:themeColor="accent1" w:themeShade="BF"/>
          <w:sz w:val="28"/>
          <w:szCs w:val="28"/>
          <w:u w:val="single"/>
        </w:rPr>
      </w:pPr>
      <w:r w:rsidRPr="00307D6A">
        <w:rPr>
          <w:rFonts w:ascii="Calibri" w:hAnsi="Calibri"/>
          <w:b/>
          <w:color w:val="365F91" w:themeColor="accent1" w:themeShade="BF"/>
          <w:sz w:val="28"/>
          <w:szCs w:val="28"/>
          <w:u w:val="single"/>
        </w:rPr>
        <w:lastRenderedPageBreak/>
        <w:t>I</w:t>
      </w:r>
      <w:r w:rsidR="00C46F96">
        <w:rPr>
          <w:rFonts w:ascii="Calibri" w:hAnsi="Calibri"/>
          <w:b/>
          <w:color w:val="365F91" w:themeColor="accent1" w:themeShade="BF"/>
          <w:sz w:val="28"/>
          <w:szCs w:val="28"/>
          <w:u w:val="single"/>
        </w:rPr>
        <w:t>V</w:t>
      </w:r>
      <w:r w:rsidRPr="00307D6A">
        <w:rPr>
          <w:rFonts w:ascii="Calibri" w:hAnsi="Calibri"/>
          <w:b/>
          <w:color w:val="365F91" w:themeColor="accent1" w:themeShade="BF"/>
          <w:sz w:val="28"/>
          <w:szCs w:val="28"/>
          <w:u w:val="single"/>
        </w:rPr>
        <w:t xml:space="preserve"> – DECOMPOSITION DU PRIX</w:t>
      </w:r>
    </w:p>
    <w:p w:rsidR="00EA16C7" w:rsidRPr="00307D6A" w:rsidRDefault="00EA16C7" w:rsidP="00EA16C7">
      <w:pPr>
        <w:autoSpaceDE w:val="0"/>
        <w:autoSpaceDN w:val="0"/>
        <w:adjustRightInd w:val="0"/>
        <w:rPr>
          <w:rFonts w:ascii="Calibri" w:hAnsi="Calibri"/>
          <w:b/>
          <w:color w:val="365F91" w:themeColor="accent1" w:themeShade="BF"/>
        </w:rPr>
      </w:pPr>
    </w:p>
    <w:p w:rsidR="00EA16C7" w:rsidRDefault="00EA16C7" w:rsidP="00EA16C7">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b/>
          <w:color w:val="365F91" w:themeColor="accent1" w:themeShade="BF"/>
        </w:rPr>
      </w:pPr>
      <w:proofErr w:type="spellStart"/>
      <w:r w:rsidRPr="00307D6A">
        <w:rPr>
          <w:rFonts w:ascii="Calibri" w:hAnsi="Calibri" w:cs="Arial"/>
          <w:b/>
          <w:color w:val="365F91" w:themeColor="accent1" w:themeShade="BF"/>
        </w:rPr>
        <w:t>Ref</w:t>
      </w:r>
      <w:proofErr w:type="spellEnd"/>
      <w:r w:rsidRPr="00307D6A">
        <w:rPr>
          <w:rFonts w:ascii="Calibri" w:hAnsi="Calibri" w:cs="Arial"/>
          <w:b/>
          <w:color w:val="365F91" w:themeColor="accent1" w:themeShade="BF"/>
        </w:rPr>
        <w:tab/>
        <w:t>Désignation</w:t>
      </w:r>
      <w:r w:rsidRPr="00307D6A">
        <w:rPr>
          <w:rFonts w:ascii="Calibri" w:hAnsi="Calibri" w:cs="Arial"/>
          <w:b/>
          <w:color w:val="365F91" w:themeColor="accent1" w:themeShade="BF"/>
        </w:rPr>
        <w:tab/>
        <w:t>PU HT</w:t>
      </w:r>
      <w:r w:rsidRPr="00307D6A">
        <w:rPr>
          <w:rFonts w:ascii="Calibri" w:hAnsi="Calibri" w:cs="Arial"/>
          <w:b/>
          <w:color w:val="365F91" w:themeColor="accent1" w:themeShade="BF"/>
        </w:rPr>
        <w:tab/>
      </w:r>
      <w:proofErr w:type="spellStart"/>
      <w:r w:rsidRPr="00307D6A">
        <w:rPr>
          <w:rFonts w:ascii="Calibri" w:hAnsi="Calibri" w:cs="Arial"/>
          <w:b/>
          <w:color w:val="365F91" w:themeColor="accent1" w:themeShade="BF"/>
        </w:rPr>
        <w:t>Qté</w:t>
      </w:r>
      <w:proofErr w:type="spellEnd"/>
      <w:r w:rsidRPr="00307D6A">
        <w:rPr>
          <w:rFonts w:ascii="Calibri" w:hAnsi="Calibri" w:cs="Arial"/>
          <w:b/>
          <w:color w:val="365F91" w:themeColor="accent1" w:themeShade="BF"/>
        </w:rPr>
        <w:tab/>
        <w:t>Total HT</w:t>
      </w:r>
    </w:p>
    <w:p w:rsidR="00C46F96" w:rsidRDefault="00C46F96" w:rsidP="00EA16C7">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365F91" w:themeColor="accent1" w:themeShade="BF"/>
        </w:rPr>
      </w:pPr>
      <w:r w:rsidRPr="00C46F96">
        <w:rPr>
          <w:rFonts w:ascii="Calibri" w:hAnsi="Calibri" w:cs="Arial"/>
          <w:color w:val="365F91" w:themeColor="accent1" w:themeShade="BF"/>
        </w:rPr>
        <w:t>REN RS TOP 7.5</w:t>
      </w:r>
      <w:r w:rsidRPr="00C46F96">
        <w:rPr>
          <w:rFonts w:ascii="Calibri" w:hAnsi="Calibri" w:cs="Arial"/>
          <w:color w:val="365F91" w:themeColor="accent1" w:themeShade="BF"/>
        </w:rPr>
        <w:tab/>
        <w:t>compresseur à vis 7.5 KW 10Bars</w:t>
      </w:r>
      <w:r w:rsidRPr="00C46F96">
        <w:rPr>
          <w:rFonts w:ascii="Calibri" w:hAnsi="Calibri" w:cs="Arial"/>
          <w:color w:val="365F91" w:themeColor="accent1" w:themeShade="BF"/>
        </w:rPr>
        <w:tab/>
      </w:r>
      <w:r>
        <w:rPr>
          <w:rFonts w:ascii="Calibri" w:hAnsi="Calibri" w:cs="Arial"/>
          <w:color w:val="365F91" w:themeColor="accent1" w:themeShade="BF"/>
        </w:rPr>
        <w:t>3 737.00</w:t>
      </w:r>
      <w:r>
        <w:rPr>
          <w:rFonts w:ascii="Calibri" w:hAnsi="Calibri" w:cs="Arial"/>
          <w:color w:val="365F91" w:themeColor="accent1" w:themeShade="BF"/>
        </w:rPr>
        <w:tab/>
        <w:t>1</w:t>
      </w:r>
      <w:r>
        <w:rPr>
          <w:rFonts w:ascii="Calibri" w:hAnsi="Calibri" w:cs="Arial"/>
          <w:color w:val="365F91" w:themeColor="accent1" w:themeShade="BF"/>
        </w:rPr>
        <w:tab/>
        <w:t>3 737.00</w:t>
      </w:r>
    </w:p>
    <w:p w:rsidR="00C46F96" w:rsidRPr="00C46F96" w:rsidRDefault="00C46F96" w:rsidP="00EA16C7">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365F91" w:themeColor="accent1" w:themeShade="BF"/>
        </w:rPr>
      </w:pPr>
      <w:r>
        <w:rPr>
          <w:rFonts w:ascii="Calibri" w:hAnsi="Calibri" w:cs="Arial"/>
          <w:color w:val="365F91" w:themeColor="accent1" w:themeShade="BF"/>
        </w:rPr>
        <w:t>EDR25</w:t>
      </w:r>
      <w:r>
        <w:rPr>
          <w:rFonts w:ascii="Calibri" w:hAnsi="Calibri" w:cs="Arial"/>
          <w:color w:val="365F91" w:themeColor="accent1" w:themeShade="BF"/>
        </w:rPr>
        <w:tab/>
        <w:t>FORFAIT CHANTIER</w:t>
      </w:r>
      <w:r>
        <w:rPr>
          <w:rFonts w:ascii="Calibri" w:hAnsi="Calibri" w:cs="Arial"/>
          <w:color w:val="365F91" w:themeColor="accent1" w:themeShade="BF"/>
        </w:rPr>
        <w:tab/>
        <w:t>587.60</w:t>
      </w:r>
      <w:r>
        <w:rPr>
          <w:rFonts w:ascii="Calibri" w:hAnsi="Calibri" w:cs="Arial"/>
          <w:color w:val="365F91" w:themeColor="accent1" w:themeShade="BF"/>
        </w:rPr>
        <w:tab/>
        <w:t>1</w:t>
      </w:r>
      <w:r>
        <w:rPr>
          <w:rFonts w:ascii="Calibri" w:hAnsi="Calibri" w:cs="Arial"/>
          <w:color w:val="365F91" w:themeColor="accent1" w:themeShade="BF"/>
        </w:rPr>
        <w:tab/>
        <w:t>587.60</w:t>
      </w:r>
    </w:p>
    <w:p w:rsidR="00EA16C7" w:rsidRPr="00307D6A" w:rsidRDefault="00EA16C7" w:rsidP="00EA16C7">
      <w:pPr>
        <w:autoSpaceDE w:val="0"/>
        <w:autoSpaceDN w:val="0"/>
        <w:adjustRightInd w:val="0"/>
        <w:rPr>
          <w:rFonts w:ascii="Calibri" w:hAnsi="Calibri"/>
          <w:b/>
          <w:color w:val="365F91" w:themeColor="accent1" w:themeShade="BF"/>
        </w:rPr>
      </w:pPr>
    </w:p>
    <w:p w:rsidR="00EA16C7" w:rsidRPr="00307D6A" w:rsidRDefault="00EA16C7" w:rsidP="00EA16C7">
      <w:pPr>
        <w:autoSpaceDE w:val="0"/>
        <w:autoSpaceDN w:val="0"/>
        <w:adjustRightInd w:val="0"/>
        <w:ind w:left="5100"/>
        <w:jc w:val="right"/>
        <w:rPr>
          <w:rFonts w:ascii="Calibri" w:hAnsi="Calibri"/>
          <w:b/>
          <w:color w:val="365F91" w:themeColor="accent1" w:themeShade="BF"/>
          <w:sz w:val="28"/>
          <w:szCs w:val="28"/>
        </w:rPr>
      </w:pPr>
      <w:r w:rsidRPr="00307D6A">
        <w:rPr>
          <w:rFonts w:ascii="Calibri" w:hAnsi="Calibri"/>
          <w:b/>
          <w:color w:val="365F91" w:themeColor="accent1" w:themeShade="BF"/>
          <w:sz w:val="28"/>
          <w:szCs w:val="28"/>
        </w:rPr>
        <w:t xml:space="preserve">Total HT € : </w:t>
      </w:r>
      <w:r w:rsidR="00C46F96">
        <w:rPr>
          <w:rFonts w:ascii="Calibri" w:hAnsi="Calibri"/>
          <w:b/>
          <w:color w:val="365F91" w:themeColor="accent1" w:themeShade="BF"/>
          <w:sz w:val="28"/>
          <w:szCs w:val="28"/>
        </w:rPr>
        <w:t>4 324.60</w:t>
      </w:r>
      <w:r w:rsidRPr="00307D6A">
        <w:rPr>
          <w:rFonts w:ascii="Calibri" w:hAnsi="Calibri"/>
          <w:b/>
          <w:color w:val="365F91" w:themeColor="accent1" w:themeShade="BF"/>
          <w:sz w:val="28"/>
          <w:szCs w:val="28"/>
        </w:rPr>
        <w:t xml:space="preserve"> EUR</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r w:rsidRPr="00307D6A">
        <w:rPr>
          <w:rFonts w:ascii="Calibri" w:hAnsi="Calibri"/>
          <w:color w:val="365F91" w:themeColor="accent1" w:themeShade="BF"/>
          <w:sz w:val="20"/>
          <w:szCs w:val="20"/>
        </w:rPr>
        <w:t xml:space="preserve">TVA </w:t>
      </w:r>
      <w:r w:rsidR="00116D7F" w:rsidRPr="00307D6A">
        <w:rPr>
          <w:rFonts w:ascii="Calibri" w:hAnsi="Calibri"/>
          <w:color w:val="365F91" w:themeColor="accent1" w:themeShade="BF"/>
          <w:sz w:val="20"/>
          <w:szCs w:val="20"/>
        </w:rPr>
        <w:t>20.00</w:t>
      </w:r>
      <w:r w:rsidRPr="00307D6A">
        <w:rPr>
          <w:rFonts w:ascii="Calibri" w:hAnsi="Calibri"/>
          <w:color w:val="365F91" w:themeColor="accent1" w:themeShade="BF"/>
          <w:sz w:val="20"/>
          <w:szCs w:val="20"/>
        </w:rPr>
        <w:t xml:space="preserve">% : </w:t>
      </w:r>
      <w:r w:rsidR="00C46F96">
        <w:rPr>
          <w:rFonts w:ascii="Calibri" w:hAnsi="Calibri"/>
          <w:color w:val="365F91" w:themeColor="accent1" w:themeShade="BF"/>
          <w:sz w:val="20"/>
          <w:szCs w:val="20"/>
        </w:rPr>
        <w:t>864.92</w:t>
      </w:r>
      <w:r w:rsidRPr="00307D6A">
        <w:rPr>
          <w:rFonts w:ascii="Calibri" w:hAnsi="Calibri"/>
          <w:color w:val="365F91" w:themeColor="accent1" w:themeShade="BF"/>
          <w:sz w:val="20"/>
          <w:szCs w:val="20"/>
        </w:rPr>
        <w:t xml:space="preserve"> EUR</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r w:rsidRPr="00307D6A">
        <w:rPr>
          <w:rFonts w:ascii="Calibri" w:hAnsi="Calibri"/>
          <w:bCs/>
          <w:color w:val="365F91" w:themeColor="accent1" w:themeShade="BF"/>
          <w:sz w:val="20"/>
          <w:szCs w:val="20"/>
        </w:rPr>
        <w:t>TOTAL TTC €</w:t>
      </w:r>
      <w:r w:rsidRPr="00307D6A">
        <w:rPr>
          <w:rFonts w:ascii="Calibri" w:hAnsi="Calibri"/>
          <w:color w:val="365F91" w:themeColor="accent1" w:themeShade="BF"/>
          <w:sz w:val="20"/>
          <w:szCs w:val="20"/>
        </w:rPr>
        <w:t xml:space="preserve"> </w:t>
      </w:r>
      <w:r w:rsidR="00C46F96">
        <w:rPr>
          <w:rFonts w:ascii="Calibri" w:hAnsi="Calibri"/>
          <w:color w:val="365F91" w:themeColor="accent1" w:themeShade="BF"/>
          <w:sz w:val="20"/>
          <w:szCs w:val="20"/>
        </w:rPr>
        <w:t>5 189.52</w:t>
      </w:r>
      <w:r w:rsidRPr="00307D6A">
        <w:rPr>
          <w:rFonts w:ascii="Calibri" w:hAnsi="Calibri"/>
          <w:color w:val="365F91" w:themeColor="accent1" w:themeShade="BF"/>
          <w:sz w:val="20"/>
          <w:szCs w:val="20"/>
        </w:rPr>
        <w:t xml:space="preserve"> EUR</w:t>
      </w: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fin de chantier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5D5F6F">
        <w:rPr>
          <w:rFonts w:ascii="Calibri" w:hAnsi="Calibri" w:cs="Tahoma"/>
          <w:b/>
          <w:color w:val="365F91" w:themeColor="accent1" w:themeShade="BF"/>
        </w:rPr>
        <w:t>4 324.60</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BB5DB2">
        <w:rPr>
          <w:rFonts w:ascii="Calibri" w:hAnsi="Calibri" w:cs="Tahoma"/>
          <w:color w:val="365F91" w:themeColor="accent1" w:themeShade="BF"/>
        </w:rPr>
        <w:t>207.23</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BB5DB2">
        <w:rPr>
          <w:rFonts w:ascii="Calibri" w:hAnsi="Calibri" w:cs="Tahoma"/>
          <w:color w:val="365F91" w:themeColor="accent1" w:themeShade="BF"/>
        </w:rPr>
        <w:t>149.33</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BB5DB2">
        <w:rPr>
          <w:rFonts w:ascii="Calibri" w:hAnsi="Calibri" w:cs="Tahoma"/>
          <w:color w:val="365F91" w:themeColor="accent1" w:themeShade="BF"/>
        </w:rPr>
        <w:t>119.62</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w:t>
      </w:r>
      <w:r w:rsidR="00BB5DB2">
        <w:rPr>
          <w:rFonts w:cs="Tahoma"/>
          <w:color w:val="365F91" w:themeColor="accent1" w:themeShade="BF"/>
        </w:rPr>
        <w:t>97.26</w:t>
      </w:r>
      <w:r w:rsidR="0008522D">
        <w:rPr>
          <w:rFonts w:cs="Tahoma"/>
          <w:color w:val="365F91" w:themeColor="accent1" w:themeShade="BF"/>
        </w:rPr>
        <w:t xml:space="preserve"> €</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BB5DB2">
        <w:rPr>
          <w:rFonts w:ascii="Calibri" w:hAnsi="Calibri"/>
          <w:color w:val="365F91" w:themeColor="accent1" w:themeShade="BF"/>
          <w:sz w:val="22"/>
          <w:szCs w:val="22"/>
        </w:rPr>
        <w:t>6</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BB5DB2">
        <w:rPr>
          <w:rFonts w:asciiTheme="minorHAnsi" w:hAnsiTheme="minorHAnsi" w:cs="Tahoma"/>
          <w:color w:val="365F91" w:themeColor="accent1" w:themeShade="BF"/>
          <w:sz w:val="24"/>
          <w:szCs w:val="24"/>
        </w:rPr>
        <w:t>THIBAUT BONNAFOUX</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proofErr w:type="spellStart"/>
      <w:r w:rsidR="00BB5DB2">
        <w:rPr>
          <w:rFonts w:asciiTheme="minorHAnsi" w:hAnsiTheme="minorHAnsi" w:cs="Tahoma"/>
          <w:color w:val="365F91" w:themeColor="accent1" w:themeShade="BF"/>
          <w:sz w:val="24"/>
          <w:szCs w:val="24"/>
        </w:rPr>
        <w:t>06</w:t>
      </w:r>
      <w:proofErr w:type="spellEnd"/>
      <w:r w:rsidR="00BB5DB2">
        <w:rPr>
          <w:rFonts w:asciiTheme="minorHAnsi" w:hAnsiTheme="minorHAnsi" w:cs="Tahoma"/>
          <w:color w:val="365F91" w:themeColor="accent1" w:themeShade="BF"/>
          <w:sz w:val="24"/>
          <w:szCs w:val="24"/>
        </w:rPr>
        <w:t xml:space="preserve"> 57 31 82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lastRenderedPageBreak/>
        <w:t>ANNEXES:</w:t>
      </w:r>
    </w:p>
    <w:p w:rsidR="00C01ED7" w:rsidRDefault="00C01ED7" w:rsidP="00514DEA">
      <w:pPr>
        <w:pStyle w:val="Corpsdetexte2"/>
        <w:jc w:val="left"/>
        <w:rPr>
          <w:rFonts w:asciiTheme="minorHAnsi" w:hAnsiTheme="minorHAnsi" w:cs="Tahoma"/>
          <w:b/>
          <w:color w:val="365F91" w:themeColor="accent1" w:themeShade="BF"/>
          <w:sz w:val="24"/>
          <w:szCs w:val="24"/>
          <w:u w:val="single"/>
        </w:rPr>
      </w:pPr>
    </w:p>
    <w:p w:rsidR="00203436" w:rsidRPr="00307D6A" w:rsidRDefault="00203436" w:rsidP="00514DEA">
      <w:pPr>
        <w:pStyle w:val="Corpsdetexte2"/>
        <w:jc w:val="left"/>
        <w:rPr>
          <w:rFonts w:asciiTheme="minorHAnsi" w:hAnsiTheme="minorHAnsi" w:cs="Tahoma"/>
          <w:b/>
          <w:color w:val="365F91" w:themeColor="accent1" w:themeShade="BF"/>
          <w:sz w:val="24"/>
          <w:szCs w:val="24"/>
          <w:u w:val="single"/>
        </w:rPr>
      </w:pPr>
      <w:r>
        <w:rPr>
          <w:rFonts w:asciiTheme="minorHAnsi" w:hAnsiTheme="minorHAnsi" w:cs="Tahoma"/>
          <w:b/>
          <w:color w:val="365F91" w:themeColor="accent1" w:themeShade="BF"/>
          <w:sz w:val="24"/>
          <w:szCs w:val="24"/>
          <w:u w:val="single"/>
        </w:rPr>
        <w:t>DATA SHIT :</w:t>
      </w:r>
    </w:p>
    <w:p w:rsidR="00C01ED7" w:rsidRPr="00307D6A" w:rsidRDefault="00203436"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noProof/>
          <w:color w:val="365F91" w:themeColor="accent1" w:themeShade="BF"/>
        </w:rPr>
        <w:drawing>
          <wp:inline distT="0" distB="0" distL="0" distR="0">
            <wp:extent cx="5972175" cy="6438900"/>
            <wp:effectExtent l="19050" t="0" r="9525"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72175" cy="6438900"/>
                    </a:xfrm>
                    <a:prstGeom prst="rect">
                      <a:avLst/>
                    </a:prstGeom>
                    <a:noFill/>
                    <a:ln w="9525">
                      <a:noFill/>
                      <a:miter lim="800000"/>
                      <a:headEnd/>
                      <a:tailEnd/>
                    </a:ln>
                  </pic:spPr>
                </pic:pic>
              </a:graphicData>
            </a:graphic>
          </wp:inline>
        </w:drawing>
      </w: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2"/>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3F" w:rsidRDefault="0058633F" w:rsidP="00601B77">
      <w:r>
        <w:separator/>
      </w:r>
    </w:p>
  </w:endnote>
  <w:endnote w:type="continuationSeparator" w:id="0">
    <w:p w:rsidR="0058633F" w:rsidRDefault="0058633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3F" w:rsidRDefault="0058633F" w:rsidP="00601B77">
      <w:r>
        <w:separator/>
      </w:r>
    </w:p>
  </w:footnote>
  <w:footnote w:type="continuationSeparator" w:id="0">
    <w:p w:rsidR="0058633F" w:rsidRDefault="0058633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03436"/>
    <w:rsid w:val="00210F52"/>
    <w:rsid w:val="00232A79"/>
    <w:rsid w:val="002343C9"/>
    <w:rsid w:val="00266670"/>
    <w:rsid w:val="002C57BB"/>
    <w:rsid w:val="002D784D"/>
    <w:rsid w:val="00300AD9"/>
    <w:rsid w:val="00307D6A"/>
    <w:rsid w:val="0035714B"/>
    <w:rsid w:val="00373B16"/>
    <w:rsid w:val="00391ECD"/>
    <w:rsid w:val="0039613F"/>
    <w:rsid w:val="003B5303"/>
    <w:rsid w:val="003B5D60"/>
    <w:rsid w:val="003E0F3B"/>
    <w:rsid w:val="004148FF"/>
    <w:rsid w:val="0048566B"/>
    <w:rsid w:val="00495CAD"/>
    <w:rsid w:val="004A0C13"/>
    <w:rsid w:val="004A1ECC"/>
    <w:rsid w:val="004A3105"/>
    <w:rsid w:val="004C596B"/>
    <w:rsid w:val="004D215B"/>
    <w:rsid w:val="004D447D"/>
    <w:rsid w:val="004E5C4B"/>
    <w:rsid w:val="00502A68"/>
    <w:rsid w:val="00514DEA"/>
    <w:rsid w:val="00523550"/>
    <w:rsid w:val="00526129"/>
    <w:rsid w:val="00546B71"/>
    <w:rsid w:val="00550C97"/>
    <w:rsid w:val="005651C2"/>
    <w:rsid w:val="0058633F"/>
    <w:rsid w:val="00590E43"/>
    <w:rsid w:val="005A5A92"/>
    <w:rsid w:val="005A5EBF"/>
    <w:rsid w:val="005C0881"/>
    <w:rsid w:val="005D5F6F"/>
    <w:rsid w:val="00601B77"/>
    <w:rsid w:val="00637F1E"/>
    <w:rsid w:val="006664FD"/>
    <w:rsid w:val="006932A5"/>
    <w:rsid w:val="006A6D3D"/>
    <w:rsid w:val="0070457A"/>
    <w:rsid w:val="007068A4"/>
    <w:rsid w:val="00712D03"/>
    <w:rsid w:val="00716FC3"/>
    <w:rsid w:val="007228A0"/>
    <w:rsid w:val="00735049"/>
    <w:rsid w:val="007601B2"/>
    <w:rsid w:val="00784557"/>
    <w:rsid w:val="0078603B"/>
    <w:rsid w:val="007A2C42"/>
    <w:rsid w:val="007C2796"/>
    <w:rsid w:val="007C2D4E"/>
    <w:rsid w:val="007C7E78"/>
    <w:rsid w:val="007E00FD"/>
    <w:rsid w:val="00800CE4"/>
    <w:rsid w:val="00802CBA"/>
    <w:rsid w:val="008145E9"/>
    <w:rsid w:val="00830534"/>
    <w:rsid w:val="00862BBF"/>
    <w:rsid w:val="00876216"/>
    <w:rsid w:val="00884F7A"/>
    <w:rsid w:val="008A31EC"/>
    <w:rsid w:val="008E412B"/>
    <w:rsid w:val="008F217B"/>
    <w:rsid w:val="009047AE"/>
    <w:rsid w:val="0093596F"/>
    <w:rsid w:val="0093774D"/>
    <w:rsid w:val="00945C0C"/>
    <w:rsid w:val="00972FC3"/>
    <w:rsid w:val="00A05B08"/>
    <w:rsid w:val="00A220FE"/>
    <w:rsid w:val="00A75493"/>
    <w:rsid w:val="00A905F7"/>
    <w:rsid w:val="00B01644"/>
    <w:rsid w:val="00B1153A"/>
    <w:rsid w:val="00B160D7"/>
    <w:rsid w:val="00B26C18"/>
    <w:rsid w:val="00B3191F"/>
    <w:rsid w:val="00B344AC"/>
    <w:rsid w:val="00B57271"/>
    <w:rsid w:val="00B6673D"/>
    <w:rsid w:val="00BA34C5"/>
    <w:rsid w:val="00BB4650"/>
    <w:rsid w:val="00BB4809"/>
    <w:rsid w:val="00BB5DB2"/>
    <w:rsid w:val="00BB6067"/>
    <w:rsid w:val="00BC3A8F"/>
    <w:rsid w:val="00BD4868"/>
    <w:rsid w:val="00BE5B44"/>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27C20"/>
    <w:rsid w:val="00D91B54"/>
    <w:rsid w:val="00DE63E8"/>
    <w:rsid w:val="00DF33DA"/>
    <w:rsid w:val="00E15A21"/>
    <w:rsid w:val="00E53CFE"/>
    <w:rsid w:val="00E553CC"/>
    <w:rsid w:val="00E6046C"/>
    <w:rsid w:val="00E7624F"/>
    <w:rsid w:val="00EA16C7"/>
    <w:rsid w:val="00EC02C3"/>
    <w:rsid w:val="00EF0D27"/>
    <w:rsid w:val="00EF634B"/>
    <w:rsid w:val="00F03F45"/>
    <w:rsid w:val="00F13B9D"/>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1B91B-D3FB-4934-861B-9CD6FEFD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dc:creator>
  <cp:lastModifiedBy>SFACS</cp:lastModifiedBy>
  <cp:revision>11</cp:revision>
  <cp:lastPrinted>2015-02-24T14:29:00Z</cp:lastPrinted>
  <dcterms:created xsi:type="dcterms:W3CDTF">2015-02-24T13:49:00Z</dcterms:created>
  <dcterms:modified xsi:type="dcterms:W3CDTF">2015-02-24T14:34:00Z</dcterms:modified>
</cp:coreProperties>
</file>