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671AC7" w:rsidRDefault="00514DEA" w:rsidP="00BE7770">
      <w:pPr>
        <w:pStyle w:val="En-tte"/>
        <w:tabs>
          <w:tab w:val="left" w:pos="708"/>
          <w:tab w:val="left" w:pos="6379"/>
        </w:tabs>
        <w:ind w:left="1134"/>
        <w:rPr>
          <w:rFonts w:asciiTheme="minorHAnsi" w:hAnsiTheme="minorHAnsi" w:cs="Tahoma"/>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697EDF">
        <w:rPr>
          <w:rFonts w:asciiTheme="minorHAnsi" w:hAnsiTheme="minorHAnsi" w:cs="Tahoma"/>
          <w:b/>
          <w:color w:val="365F91" w:themeColor="accent1" w:themeShade="BF"/>
        </w:rPr>
        <w:t xml:space="preserve"> BAGALU</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00BE7770">
        <w:rPr>
          <w:rFonts w:asciiTheme="minorHAnsi" w:hAnsiTheme="minorHAnsi" w:cs="Tahoma"/>
          <w:b/>
          <w:color w:val="365F91" w:themeColor="accent1" w:themeShade="BF"/>
        </w:rPr>
        <w:t xml:space="preserve">     </w:t>
      </w:r>
      <w:r w:rsidR="00697EDF">
        <w:rPr>
          <w:rFonts w:asciiTheme="minorHAnsi" w:hAnsiTheme="minorHAnsi" w:cs="Tahoma"/>
          <w:color w:val="365F91" w:themeColor="accent1" w:themeShade="BF"/>
        </w:rPr>
        <w:t>Avenue de l’industrie</w:t>
      </w:r>
      <w:r w:rsidR="00671AC7">
        <w:rPr>
          <w:rFonts w:asciiTheme="minorHAnsi" w:hAnsiTheme="minorHAnsi" w:cs="Tahoma"/>
          <w:color w:val="365F91" w:themeColor="accent1" w:themeShade="BF"/>
        </w:rPr>
        <w:t xml:space="preserve"> </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r>
      <w:r w:rsidR="00697EDF">
        <w:rPr>
          <w:rFonts w:asciiTheme="minorHAnsi" w:hAnsiTheme="minorHAnsi" w:cs="Tahoma"/>
          <w:color w:val="365F91" w:themeColor="accent1" w:themeShade="BF"/>
        </w:rPr>
        <w:t>07000 PRIVAS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3D6DFD">
        <w:rPr>
          <w:rFonts w:asciiTheme="minorHAnsi" w:hAnsiTheme="minorHAnsi" w:cs="Tahoma"/>
          <w:color w:val="365F91" w:themeColor="accent1" w:themeShade="BF"/>
        </w:rPr>
        <w:t>21</w:t>
      </w:r>
      <w:r w:rsidR="00697EDF">
        <w:rPr>
          <w:rFonts w:asciiTheme="minorHAnsi" w:hAnsiTheme="minorHAnsi" w:cs="Tahoma"/>
          <w:color w:val="365F91" w:themeColor="accent1" w:themeShade="BF"/>
        </w:rPr>
        <w:t>/03/2016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697EDF">
        <w:rPr>
          <w:rFonts w:asciiTheme="minorHAnsi" w:hAnsiTheme="minorHAnsi" w:cs="Tahoma"/>
          <w:color w:val="365F91" w:themeColor="accent1" w:themeShade="BF"/>
        </w:rPr>
        <w:t>MAINCOURT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487DA0">
        <w:rPr>
          <w:rFonts w:asciiTheme="minorHAnsi" w:hAnsiTheme="minorHAnsi" w:cs="Tahoma"/>
          <w:color w:val="365F91" w:themeColor="accent1" w:themeShade="BF"/>
          <w:u w:val="single"/>
        </w:rPr>
        <w:t xml:space="preserve"> </w:t>
      </w:r>
      <w:r w:rsidR="00671AC7">
        <w:rPr>
          <w:rFonts w:asciiTheme="minorHAnsi" w:hAnsiTheme="minorHAnsi" w:cs="Tahoma"/>
          <w:color w:val="365F91" w:themeColor="accent1" w:themeShade="BF"/>
          <w:u w:val="single"/>
        </w:rPr>
        <w:t xml:space="preserve">neuf </w:t>
      </w:r>
      <w:r w:rsidR="0000563C">
        <w:rPr>
          <w:rFonts w:asciiTheme="minorHAnsi" w:hAnsiTheme="minorHAnsi" w:cs="Tahoma"/>
          <w:color w:val="365F91" w:themeColor="accent1" w:themeShade="BF"/>
          <w:u w:val="single"/>
        </w:rPr>
        <w:t xml:space="preserve">7.5 KW en 7.5Bars * RENNER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00563C" w:rsidRPr="0000563C" w:rsidRDefault="0000563C" w:rsidP="0000563C">
      <w:pPr>
        <w:rPr>
          <w:rFonts w:asciiTheme="minorHAnsi" w:hAnsiTheme="minorHAnsi"/>
          <w:color w:val="1F497D" w:themeColor="text2"/>
        </w:rPr>
      </w:pPr>
      <w:r w:rsidRPr="0000563C">
        <w:rPr>
          <w:rFonts w:asciiTheme="minorHAnsi" w:hAnsiTheme="minorHAnsi"/>
          <w:color w:val="1F497D" w:themeColor="text2"/>
        </w:rPr>
        <w:t xml:space="preserve">*merci de nous confirmer que la pression d’utilisation </w:t>
      </w:r>
      <w:r w:rsidR="00E205CC">
        <w:rPr>
          <w:rFonts w:asciiTheme="minorHAnsi" w:hAnsiTheme="minorHAnsi"/>
          <w:color w:val="1F497D" w:themeColor="text2"/>
        </w:rPr>
        <w:t>régulée</w:t>
      </w:r>
      <w:r w:rsidR="001B1522">
        <w:rPr>
          <w:rFonts w:asciiTheme="minorHAnsi" w:hAnsiTheme="minorHAnsi"/>
          <w:color w:val="1F497D" w:themeColor="text2"/>
        </w:rPr>
        <w:t xml:space="preserve"> entre 6.8 Bars minimum et 7.5 Bars maximum</w:t>
      </w:r>
      <w:r w:rsidRPr="0000563C">
        <w:rPr>
          <w:rFonts w:asciiTheme="minorHAnsi" w:hAnsiTheme="minorHAnsi"/>
          <w:color w:val="1F497D" w:themeColor="text2"/>
        </w:rPr>
        <w:t xml:space="preserve"> </w:t>
      </w:r>
      <w:r w:rsidR="00E205CC">
        <w:rPr>
          <w:rFonts w:asciiTheme="minorHAnsi" w:hAnsiTheme="minorHAnsi"/>
          <w:color w:val="1F497D" w:themeColor="text2"/>
        </w:rPr>
        <w:t>soit</w:t>
      </w:r>
      <w:r w:rsidRPr="0000563C">
        <w:rPr>
          <w:rFonts w:asciiTheme="minorHAnsi" w:hAnsiTheme="minorHAnsi"/>
          <w:color w:val="1F497D" w:themeColor="text2"/>
        </w:rPr>
        <w:t xml:space="preserve"> suffisante pour votre utilisation</w:t>
      </w:r>
      <w:r w:rsidR="001B1522">
        <w:rPr>
          <w:rFonts w:asciiTheme="minorHAnsi" w:hAnsiTheme="minorHAnsi"/>
          <w:color w:val="1F497D" w:themeColor="text2"/>
        </w:rPr>
        <w:t>.</w:t>
      </w:r>
    </w:p>
    <w:p w:rsidR="0000563C" w:rsidRPr="0000563C" w:rsidRDefault="0000563C" w:rsidP="0000563C">
      <w:pPr>
        <w:rPr>
          <w:rFonts w:asciiTheme="minorHAnsi" w:hAnsiTheme="minorHAnsi"/>
          <w:color w:val="1F497D" w:themeColor="text2"/>
        </w:rPr>
      </w:pPr>
    </w:p>
    <w:p w:rsidR="0000563C" w:rsidRDefault="0000563C" w:rsidP="0000563C">
      <w:pPr>
        <w:rPr>
          <w:rFonts w:asciiTheme="minorHAnsi" w:hAnsiTheme="minorHAnsi"/>
          <w:color w:val="1F497D" w:themeColor="text2"/>
        </w:rPr>
      </w:pPr>
      <w:r w:rsidRPr="0000563C">
        <w:rPr>
          <w:rFonts w:asciiTheme="minorHAnsi" w:hAnsiTheme="minorHAnsi"/>
          <w:color w:val="1F497D" w:themeColor="text2"/>
        </w:rPr>
        <w:t xml:space="preserve">Vous avez actuellement un compresseur </w:t>
      </w:r>
      <w:r>
        <w:rPr>
          <w:rFonts w:asciiTheme="minorHAnsi" w:hAnsiTheme="minorHAnsi"/>
          <w:color w:val="1F497D" w:themeColor="text2"/>
        </w:rPr>
        <w:t xml:space="preserve"> à piston </w:t>
      </w:r>
      <w:r w:rsidRPr="0000563C">
        <w:rPr>
          <w:rFonts w:asciiTheme="minorHAnsi" w:hAnsiTheme="minorHAnsi"/>
          <w:color w:val="1F497D" w:themeColor="text2"/>
        </w:rPr>
        <w:t>4 KW 5.5 CV avec une pression de 10 Bars avec un débit de 30.2 m3/</w:t>
      </w:r>
      <w:proofErr w:type="gramStart"/>
      <w:r w:rsidRPr="0000563C">
        <w:rPr>
          <w:rFonts w:asciiTheme="minorHAnsi" w:hAnsiTheme="minorHAnsi"/>
          <w:color w:val="1F497D" w:themeColor="text2"/>
        </w:rPr>
        <w:t>h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Nous vous proposons un compresseur à vis  RENNER</w:t>
      </w:r>
      <w:r w:rsidR="001B1522">
        <w:rPr>
          <w:rFonts w:asciiTheme="minorHAnsi" w:hAnsiTheme="minorHAnsi"/>
          <w:color w:val="1F497D" w:themeColor="text2"/>
        </w:rPr>
        <w:t xml:space="preserve"> nouvelle gamme RS PRO de 7.5 KW </w:t>
      </w:r>
      <w:r>
        <w:rPr>
          <w:rFonts w:asciiTheme="minorHAnsi" w:hAnsiTheme="minorHAnsi"/>
          <w:color w:val="1F497D" w:themeColor="text2"/>
        </w:rPr>
        <w:t xml:space="preserve">avec un débit de  75 m3/h </w:t>
      </w:r>
      <w:r w:rsidR="00E205CC">
        <w:rPr>
          <w:rFonts w:asciiTheme="minorHAnsi" w:hAnsiTheme="minorHAnsi"/>
          <w:color w:val="1F497D" w:themeColor="text2"/>
        </w:rPr>
        <w:t>à 7.5 Bars</w:t>
      </w:r>
      <w:r>
        <w:rPr>
          <w:rFonts w:asciiTheme="minorHAnsi" w:hAnsiTheme="minorHAnsi"/>
          <w:color w:val="1F497D" w:themeColor="text2"/>
        </w:rPr>
        <w:t>.  Un compresseur à vis lubrifiée permet une utilisation à 100% de ses capacités sans pause comparativement à un compresseur à piston qui demande une utilisation en 2/3 de travail 1/3 de repos.</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00563C" w:rsidP="00514DEA">
      <w:pPr>
        <w:pStyle w:val="Titre5"/>
        <w:rPr>
          <w:rFonts w:asciiTheme="minorHAnsi" w:hAnsiTheme="minorHAnsi" w:cs="Tahoma"/>
          <w:i w:val="0"/>
          <w:color w:val="365F91" w:themeColor="accent1" w:themeShade="BF"/>
          <w:sz w:val="24"/>
          <w:szCs w:val="24"/>
          <w:u w:val="single"/>
        </w:rPr>
      </w:pPr>
      <w:r>
        <w:rPr>
          <w:rFonts w:asciiTheme="minorHAnsi" w:hAnsiTheme="minorHAnsi" w:cs="Tahoma"/>
          <w:i w:val="0"/>
          <w:noProof/>
          <w:color w:val="365F91" w:themeColor="accent1" w:themeShade="BF"/>
          <w:sz w:val="24"/>
          <w:szCs w:val="24"/>
          <w:u w:val="single"/>
        </w:rPr>
        <w:lastRenderedPageBreak/>
        <w:drawing>
          <wp:anchor distT="0" distB="0" distL="114300" distR="114300" simplePos="0" relativeHeight="251673600" behindDoc="0" locked="0" layoutInCell="1" allowOverlap="1">
            <wp:simplePos x="0" y="0"/>
            <wp:positionH relativeFrom="column">
              <wp:posOffset>5095875</wp:posOffset>
            </wp:positionH>
            <wp:positionV relativeFrom="paragraph">
              <wp:posOffset>-440690</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00266670"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Pr>
          <w:rFonts w:asciiTheme="minorHAnsi" w:hAnsiTheme="minorHAnsi" w:cs="Tahoma"/>
          <w:i w:val="0"/>
          <w:color w:val="365F91" w:themeColor="accent1" w:themeShade="BF"/>
          <w:sz w:val="28"/>
          <w:szCs w:val="28"/>
          <w:u w:val="single"/>
        </w:rPr>
        <w:t xml:space="preserve"> PRO 7.5 KW</w:t>
      </w:r>
      <w:r w:rsidR="00671AC7">
        <w:rPr>
          <w:rFonts w:asciiTheme="minorHAnsi" w:hAnsiTheme="minorHAnsi" w:cs="Tahoma"/>
          <w:i w:val="0"/>
          <w:color w:val="365F91" w:themeColor="accent1" w:themeShade="BF"/>
          <w:sz w:val="28"/>
          <w:szCs w:val="28"/>
          <w:u w:val="single"/>
        </w:rPr>
        <w:t xml:space="preserve">  - 7.5</w:t>
      </w:r>
      <w:r w:rsidR="003B5D60">
        <w:rPr>
          <w:rFonts w:asciiTheme="minorHAnsi" w:hAnsiTheme="minorHAnsi" w:cs="Tahoma"/>
          <w:i w:val="0"/>
          <w:color w:val="365F91" w:themeColor="accent1" w:themeShade="BF"/>
          <w:sz w:val="28"/>
          <w:szCs w:val="28"/>
          <w:u w:val="single"/>
        </w:rPr>
        <w:t xml:space="preserve"> Bars</w:t>
      </w:r>
    </w:p>
    <w:p w:rsidR="00266670" w:rsidRPr="00307D6A" w:rsidRDefault="00266670" w:rsidP="00266670">
      <w:pPr>
        <w:rPr>
          <w:color w:val="365F91" w:themeColor="accent1" w:themeShade="BF"/>
        </w:rPr>
      </w:pPr>
    </w:p>
    <w:p w:rsidR="00EF634B" w:rsidRPr="00EF634B" w:rsidRDefault="00786ADA" w:rsidP="00671AC7">
      <w:pPr>
        <w:pStyle w:val="En-tte"/>
        <w:tabs>
          <w:tab w:val="left" w:pos="708"/>
        </w:tabs>
        <w:jc w:val="center"/>
        <w:rPr>
          <w:rFonts w:asciiTheme="minorHAnsi" w:hAnsiTheme="minorHAnsi" w:cs="Tahoma"/>
          <w:b/>
          <w:noProof/>
          <w:color w:val="365F91" w:themeColor="accent1" w:themeShade="BF"/>
          <w:u w:val="single"/>
        </w:rPr>
      </w:pPr>
      <w:r w:rsidRPr="00786ADA">
        <w:rPr>
          <w:rFonts w:asciiTheme="minorHAnsi" w:hAnsiTheme="minorHAnsi" w:cs="Tahoma"/>
          <w:b/>
          <w:noProof/>
          <w:color w:val="365F91" w:themeColor="accent1" w:themeShade="BF"/>
        </w:rPr>
        <w:drawing>
          <wp:inline distT="0" distB="0" distL="0" distR="0">
            <wp:extent cx="6645910" cy="3857001"/>
            <wp:effectExtent l="19050" t="0" r="254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645910" cy="3857001"/>
                    </a:xfrm>
                    <a:prstGeom prst="rect">
                      <a:avLst/>
                    </a:prstGeom>
                    <a:noFill/>
                    <a:ln w="9525">
                      <a:noFill/>
                      <a:miter lim="800000"/>
                      <a:headEnd/>
                      <a:tailEnd/>
                    </a:ln>
                  </pic:spPr>
                </pic:pic>
              </a:graphicData>
            </a:graphic>
          </wp:inline>
        </w:drawing>
      </w: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 xml:space="preserve">Avantages de la gamme RS : </w:t>
      </w:r>
    </w:p>
    <w:p w:rsidR="00671AC7" w:rsidRPr="00671AC7" w:rsidRDefault="00671AC7" w:rsidP="00671AC7"/>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 xml:space="preserve">Une </w:t>
      </w:r>
      <w:r w:rsidRPr="00671AC7">
        <w:rPr>
          <w:rFonts w:asciiTheme="minorHAnsi" w:hAnsiTheme="minorHAnsi" w:cs="Helvetica"/>
          <w:b/>
          <w:color w:val="1F497D" w:themeColor="text2"/>
          <w:sz w:val="22"/>
          <w:szCs w:val="22"/>
        </w:rPr>
        <w:t>garantie totale de deux ans</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Bloc de compression intégré</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surpression de durites et raccords, sources habituelles de pannes. Un réservoir séparateur séparé n’est pas nécessaire et une homologation par le Service de Mines n’est plus obligatoire (jusqu'à 45 kW).</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efficace</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incluant un montage sur silentblocs amortisseur de vibrations, permettant une implantation même à proximité d’ateliers ou de bureaux.</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facilement escamotables, une accessibilité optimale lors des opérations de maintenance et de service, réduisant les coûts de main d’œuvre pour l’utilisateur.</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Utilisation de composants standardisés et de qualité supérieurs</w:t>
      </w:r>
      <w:r w:rsidRPr="00671AC7">
        <w:rPr>
          <w:rFonts w:asciiTheme="minorHAnsi" w:hAnsiTheme="minorHAnsi" w:cs="Helvetica"/>
          <w:color w:val="1F497D" w:themeColor="text2"/>
          <w:sz w:val="22"/>
          <w:szCs w:val="22"/>
        </w:rPr>
        <w:br/>
        <w:t>Approvisionnés auprès de fabricants reconnus et compétents, situés à proximité du lieu de production.</w:t>
      </w:r>
    </w:p>
    <w:p w:rsid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Dispositif de tension automatique des courroies</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garantissant une longue durée de vie réduisant ainsi les frais de maintenance</w:t>
      </w:r>
      <w:r>
        <w:rPr>
          <w:rFonts w:asciiTheme="minorHAnsi" w:hAnsiTheme="minorHAnsi" w:cs="Helvetica"/>
          <w:color w:val="1F497D" w:themeColor="text2"/>
          <w:sz w:val="22"/>
          <w:szCs w:val="22"/>
        </w:rPr>
        <w:t>.</w:t>
      </w:r>
    </w:p>
    <w:p w:rsidR="00671AC7" w:rsidRDefault="00671AC7" w:rsidP="00671AC7">
      <w:pPr>
        <w:ind w:left="225"/>
        <w:rPr>
          <w:rFonts w:asciiTheme="minorHAnsi" w:hAnsiTheme="minorHAnsi" w:cs="Helvetica"/>
          <w:color w:val="1F497D" w:themeColor="text2"/>
          <w:sz w:val="22"/>
          <w:szCs w:val="22"/>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Les critères de construction de la gamme RS</w:t>
      </w:r>
    </w:p>
    <w:p w:rsidR="00671AC7" w:rsidRPr="00671AC7" w:rsidRDefault="00671AC7" w:rsidP="00671AC7"/>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Cartouche séparatrice montée à l’extérieur du bloc de compression intégré.</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montée en standard.</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 à retirer.</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Accès optimal à tous les composants.</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Livrée prêt à l’emploi, avec câble électrique et vanne à boisseau sphérique de sortie.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Installation électrique complète.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électromécanique.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Démarreur étoile triangle (à partir de 5,5 kW).</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lastRenderedPageBreak/>
        <w:t>Temporisation de marche en continue.</w:t>
      </w:r>
    </w:p>
    <w:p w:rsid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électronique avec console LCD en option.</w:t>
      </w:r>
    </w:p>
    <w:p w:rsidR="003B5D60" w:rsidRDefault="003B5D60" w:rsidP="00266670">
      <w:pPr>
        <w:pStyle w:val="En-tte"/>
        <w:tabs>
          <w:tab w:val="left" w:pos="708"/>
        </w:tabs>
        <w:rPr>
          <w:rFonts w:asciiTheme="minorHAnsi" w:hAnsiTheme="minorHAnsi" w:cs="Tahoma"/>
          <w:b/>
          <w:noProof/>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487DA0">
        <w:rPr>
          <w:rFonts w:asciiTheme="minorHAnsi" w:hAnsiTheme="minorHAnsi" w:cs="Tahoma"/>
          <w:b/>
          <w:color w:val="365F91" w:themeColor="accent1" w:themeShade="BF"/>
        </w:rPr>
        <w:t xml:space="preserve">3 803.52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t>Remise -64.83 € HT = 3 738.69 € HT</w:t>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3B5303" w:rsidRDefault="00514DEA" w:rsidP="00945C0C">
      <w:pPr>
        <w:pStyle w:val="Paragraphedeliste"/>
        <w:numPr>
          <w:ilvl w:val="0"/>
          <w:numId w:val="7"/>
        </w:numPr>
        <w:rPr>
          <w:rFonts w:asciiTheme="minorHAnsi" w:hAnsiTheme="minorHAnsi" w:cs="Tahoma"/>
          <w:color w:val="365F91" w:themeColor="accent1" w:themeShade="BF"/>
        </w:rPr>
      </w:pPr>
      <w:r w:rsidRPr="003B5303">
        <w:rPr>
          <w:rFonts w:asciiTheme="minorHAnsi" w:hAnsiTheme="minorHAnsi" w:cs="Tahoma"/>
          <w:color w:val="365F91" w:themeColor="accent1" w:themeShade="BF"/>
        </w:rPr>
        <w:t>Fournitures électriques</w:t>
      </w:r>
      <w:r w:rsidR="00C01ED7" w:rsidRPr="003B5303">
        <w:rPr>
          <w:rFonts w:asciiTheme="minorHAnsi" w:hAnsiTheme="minorHAnsi" w:cs="Tahoma"/>
          <w:color w:val="365F91" w:themeColor="accent1" w:themeShade="BF"/>
        </w:rPr>
        <w:t xml:space="preserve"> et pose</w:t>
      </w:r>
      <w:r w:rsidR="003B5303">
        <w:rPr>
          <w:rFonts w:asciiTheme="minorHAnsi" w:hAnsiTheme="minorHAnsi" w:cs="Tahoma"/>
          <w:color w:val="365F91" w:themeColor="accent1" w:themeShade="BF"/>
        </w:rPr>
        <w:t xml:space="preserve"> </w:t>
      </w:r>
      <w:r w:rsidR="00B77802">
        <w:rPr>
          <w:rFonts w:asciiTheme="minorHAnsi" w:hAnsiTheme="minorHAnsi" w:cs="Tahoma"/>
          <w:color w:val="365F91" w:themeColor="accent1" w:themeShade="BF"/>
        </w:rPr>
        <w:t>(sectionneur</w:t>
      </w:r>
      <w:r w:rsidR="003B5303">
        <w:rPr>
          <w:rFonts w:asciiTheme="minorHAnsi" w:hAnsiTheme="minorHAnsi" w:cs="Tahoma"/>
          <w:color w:val="365F91" w:themeColor="accent1" w:themeShade="BF"/>
        </w:rPr>
        <w:t xml:space="preserve"> de proximité + 5metres</w:t>
      </w:r>
      <w:r w:rsidR="00E205CC">
        <w:rPr>
          <w:rFonts w:asciiTheme="minorHAnsi" w:hAnsiTheme="minorHAnsi" w:cs="Tahoma"/>
          <w:color w:val="365F91" w:themeColor="accent1" w:themeShade="BF"/>
        </w:rPr>
        <w:t xml:space="preserve"> de câble RO2V</w:t>
      </w:r>
      <w:r w:rsidR="00B77802">
        <w:rPr>
          <w:rFonts w:asciiTheme="minorHAnsi" w:hAnsiTheme="minorHAnsi" w:cs="Tahoma"/>
          <w:color w:val="365F91" w:themeColor="accent1" w:themeShade="BF"/>
        </w:rPr>
        <w:t>)</w:t>
      </w:r>
    </w:p>
    <w:p w:rsidR="00077B23"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Branchements électriques</w:t>
      </w:r>
      <w:r w:rsidR="00E205CC">
        <w:rPr>
          <w:rFonts w:asciiTheme="minorHAnsi" w:hAnsiTheme="minorHAnsi" w:cs="Tahoma"/>
          <w:color w:val="365F91" w:themeColor="accent1" w:themeShade="BF"/>
        </w:rPr>
        <w:t xml:space="preserve"> du compresseur</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Pr>
          <w:rFonts w:asciiTheme="minorHAnsi" w:hAnsiTheme="minorHAnsi" w:cs="Tahoma"/>
          <w:b/>
          <w:color w:val="365F91" w:themeColor="accent1" w:themeShade="BF"/>
        </w:rPr>
        <w:t xml:space="preserve">611.31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BE7770" w:rsidRPr="00BE7770" w:rsidRDefault="00BE7770" w:rsidP="00BE7770">
      <w:pPr>
        <w:rPr>
          <w:rFonts w:asciiTheme="minorHAnsi" w:hAnsiTheme="minorHAnsi" w:cs="Tahoma"/>
          <w:b/>
          <w:color w:val="365F91" w:themeColor="accent1" w:themeShade="BF"/>
          <w:u w:val="single"/>
        </w:rPr>
      </w:pPr>
      <w:r w:rsidRPr="00BE7770">
        <w:rPr>
          <w:rFonts w:asciiTheme="minorHAnsi" w:hAnsiTheme="minorHAnsi" w:cs="Tahoma"/>
          <w:b/>
          <w:color w:val="365F91" w:themeColor="accent1" w:themeShade="BF"/>
          <w:u w:val="single"/>
        </w:rPr>
        <w:t>A votre charge </w:t>
      </w:r>
      <w:proofErr w:type="gramStart"/>
      <w:r w:rsidRPr="00BE7770">
        <w:rPr>
          <w:rFonts w:asciiTheme="minorHAnsi" w:hAnsiTheme="minorHAnsi" w:cs="Tahoma"/>
          <w:b/>
          <w:color w:val="365F91" w:themeColor="accent1" w:themeShade="BF"/>
          <w:u w:val="single"/>
        </w:rPr>
        <w:t xml:space="preserve">: </w:t>
      </w:r>
      <w:r>
        <w:rPr>
          <w:rFonts w:asciiTheme="minorHAnsi" w:hAnsiTheme="minorHAnsi" w:cs="Tahoma"/>
          <w:b/>
          <w:color w:val="365F91" w:themeColor="accent1" w:themeShade="BF"/>
          <w:u w:val="single"/>
        </w:rPr>
        <w:t xml:space="preserve"> ligne</w:t>
      </w:r>
      <w:proofErr w:type="gramEnd"/>
      <w:r>
        <w:rPr>
          <w:rFonts w:asciiTheme="minorHAnsi" w:hAnsiTheme="minorHAnsi" w:cs="Tahoma"/>
          <w:b/>
          <w:color w:val="365F91" w:themeColor="accent1" w:themeShade="BF"/>
          <w:u w:val="single"/>
        </w:rPr>
        <w:t xml:space="preserve"> électrique à vérifier et à mettre en adéquation avec la puissance à 7.5 KW et ligne protéger en amont avec disjoncteur 20AMP courbe D.</w:t>
      </w:r>
    </w:p>
    <w:p w:rsidR="00514DEA" w:rsidRPr="00307D6A" w:rsidRDefault="00514DEA" w:rsidP="00514DEA">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lastRenderedPageBreak/>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 PRO 7,5</w:t>
      </w:r>
      <w:r w:rsidRPr="00BE7770">
        <w:rPr>
          <w:rFonts w:asciiTheme="minorHAnsi" w:hAnsiTheme="minorHAnsi" w:cs="Arial"/>
          <w:color w:val="1F497D" w:themeColor="text2"/>
          <w:sz w:val="22"/>
          <w:szCs w:val="22"/>
        </w:rPr>
        <w:tab/>
        <w:t>compresseur à vis 7,5KW 7,5Bars</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3D6DFD">
        <w:rPr>
          <w:rFonts w:asciiTheme="minorHAnsi" w:hAnsiTheme="minorHAnsi" w:cs="Arial"/>
          <w:color w:val="1F497D" w:themeColor="text2"/>
          <w:sz w:val="22"/>
          <w:szCs w:val="22"/>
        </w:rPr>
        <w:t>3 738.69</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3D6DFD">
        <w:rPr>
          <w:rFonts w:asciiTheme="minorHAnsi" w:hAnsiTheme="minorHAnsi" w:cs="Arial"/>
          <w:color w:val="1F497D" w:themeColor="text2"/>
          <w:sz w:val="22"/>
          <w:szCs w:val="22"/>
        </w:rPr>
        <w:t>3 738.69</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Forfait Chantier</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471,31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471,31</w:t>
      </w:r>
    </w:p>
    <w:p w:rsidR="00BE7770" w:rsidRPr="00BE7770" w:rsidRDefault="00BE7770" w:rsidP="00BE7770">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EDR51</w:t>
      </w:r>
      <w:r w:rsidRPr="00BE7770">
        <w:rPr>
          <w:rFonts w:asciiTheme="minorHAnsi" w:hAnsiTheme="minorHAnsi" w:cs="Arial"/>
          <w:color w:val="1F497D" w:themeColor="text2"/>
          <w:sz w:val="22"/>
          <w:szCs w:val="22"/>
        </w:rPr>
        <w:tab/>
        <w:t xml:space="preserve">fournitures de raccordement et sectionneur de </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140,00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140,00</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ab/>
      </w:r>
      <w:r w:rsidRPr="00BE7770">
        <w:rPr>
          <w:rFonts w:asciiTheme="minorHAnsi" w:hAnsiTheme="minorHAnsi" w:cs="Arial"/>
          <w:color w:val="1F497D" w:themeColor="text2"/>
          <w:sz w:val="22"/>
          <w:szCs w:val="22"/>
        </w:rPr>
        <w:t>Proximité</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3D6DFD">
        <w:rPr>
          <w:rFonts w:asciiTheme="minorHAnsi" w:hAnsiTheme="minorHAnsi"/>
          <w:b/>
          <w:color w:val="1F497D" w:themeColor="text2"/>
          <w:sz w:val="28"/>
          <w:szCs w:val="28"/>
        </w:rPr>
        <w:t>4 350.00</w:t>
      </w:r>
      <w:r w:rsidRPr="00BE7770">
        <w:rPr>
          <w:rFonts w:asciiTheme="minorHAnsi" w:hAnsiTheme="minorHAnsi"/>
          <w:b/>
          <w:color w:val="1F497D" w:themeColor="text2"/>
          <w:sz w:val="28"/>
          <w:szCs w:val="28"/>
        </w:rPr>
        <w:t xml:space="preserve"> EUR</w:t>
      </w: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color w:val="1F497D" w:themeColor="text2"/>
          <w:sz w:val="22"/>
          <w:szCs w:val="22"/>
        </w:rPr>
      </w:pPr>
      <w:r w:rsidRPr="00BE7770">
        <w:rPr>
          <w:rFonts w:asciiTheme="minorHAnsi" w:hAnsiTheme="minorHAnsi"/>
          <w:color w:val="1F497D" w:themeColor="text2"/>
          <w:sz w:val="22"/>
          <w:szCs w:val="22"/>
        </w:rPr>
        <w:t xml:space="preserve">TVA 20 % : </w:t>
      </w:r>
      <w:r w:rsidR="003D6DFD">
        <w:rPr>
          <w:rFonts w:asciiTheme="minorHAnsi" w:hAnsiTheme="minorHAnsi"/>
          <w:color w:val="1F497D" w:themeColor="text2"/>
          <w:sz w:val="22"/>
          <w:szCs w:val="22"/>
        </w:rPr>
        <w:t>870.00</w:t>
      </w:r>
      <w:r w:rsidRPr="00BE7770">
        <w:rPr>
          <w:rFonts w:asciiTheme="minorHAnsi" w:hAnsiTheme="minorHAnsi"/>
          <w:color w:val="1F497D" w:themeColor="text2"/>
          <w:sz w:val="22"/>
          <w:szCs w:val="22"/>
        </w:rPr>
        <w:t xml:space="preserve"> EUR</w:t>
      </w:r>
    </w:p>
    <w:p w:rsidR="00EA16C7" w:rsidRPr="00B77802" w:rsidRDefault="00BE7770" w:rsidP="00BE7770">
      <w:pPr>
        <w:autoSpaceDE w:val="0"/>
        <w:autoSpaceDN w:val="0"/>
        <w:adjustRightInd w:val="0"/>
        <w:ind w:left="5100"/>
        <w:jc w:val="right"/>
        <w:rPr>
          <w:rFonts w:ascii="Calibri" w:hAnsi="Calibri"/>
          <w:b/>
          <w:color w:val="17365D" w:themeColor="text2" w:themeShade="BF"/>
        </w:rPr>
      </w:pPr>
      <w:r w:rsidRPr="00BE7770">
        <w:rPr>
          <w:rFonts w:asciiTheme="minorHAnsi" w:hAnsiTheme="minorHAnsi"/>
          <w:b/>
          <w:bCs/>
          <w:color w:val="1F497D" w:themeColor="text2"/>
          <w:sz w:val="22"/>
          <w:szCs w:val="22"/>
        </w:rPr>
        <w:t>TOTAL TTC €</w:t>
      </w:r>
      <w:r w:rsidRPr="00BE7770">
        <w:rPr>
          <w:rFonts w:asciiTheme="minorHAnsi" w:hAnsiTheme="minorHAnsi"/>
          <w:color w:val="1F497D" w:themeColor="text2"/>
          <w:sz w:val="22"/>
          <w:szCs w:val="22"/>
        </w:rPr>
        <w:t xml:space="preserve"> : </w:t>
      </w:r>
      <w:r w:rsidR="003D6DFD">
        <w:rPr>
          <w:rFonts w:asciiTheme="minorHAnsi" w:hAnsiTheme="minorHAnsi"/>
          <w:color w:val="1F497D" w:themeColor="text2"/>
          <w:sz w:val="22"/>
          <w:szCs w:val="22"/>
        </w:rPr>
        <w:t>5 220.00</w:t>
      </w:r>
      <w:r w:rsidRPr="00BE7770">
        <w:rPr>
          <w:rFonts w:asciiTheme="minorHAnsi" w:hAnsiTheme="minorHAnsi"/>
          <w:color w:val="1F497D" w:themeColor="text2"/>
          <w:sz w:val="22"/>
          <w:szCs w:val="22"/>
        </w:rPr>
        <w:t xml:space="preserve"> EUR</w:t>
      </w: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F6457E">
        <w:rPr>
          <w:rFonts w:asciiTheme="minorHAnsi" w:hAnsiTheme="minorHAnsi" w:cs="Tahoma"/>
          <w:color w:val="365F91" w:themeColor="accent1" w:themeShade="BF"/>
          <w:sz w:val="24"/>
          <w:szCs w:val="24"/>
        </w:rPr>
        <w:t>L</w:t>
      </w:r>
      <w:r w:rsidR="00BE7770">
        <w:rPr>
          <w:rFonts w:asciiTheme="minorHAnsi" w:hAnsiTheme="minorHAnsi" w:cs="Tahoma"/>
          <w:color w:val="365F91" w:themeColor="accent1" w:themeShade="BF"/>
          <w:sz w:val="24"/>
          <w:szCs w:val="24"/>
        </w:rPr>
        <w:t xml:space="preserve">ionel BETTON 06 </w:t>
      </w:r>
      <w:proofErr w:type="spellStart"/>
      <w:r w:rsidR="00BE7770">
        <w:rPr>
          <w:rFonts w:asciiTheme="minorHAnsi" w:hAnsiTheme="minorHAnsi" w:cs="Tahoma"/>
          <w:color w:val="365F91" w:themeColor="accent1" w:themeShade="BF"/>
          <w:sz w:val="24"/>
          <w:szCs w:val="24"/>
        </w:rPr>
        <w:t>06</w:t>
      </w:r>
      <w:proofErr w:type="spellEnd"/>
      <w:r w:rsidR="00BE7770">
        <w:rPr>
          <w:rFonts w:asciiTheme="minorHAnsi" w:hAnsiTheme="minorHAnsi" w:cs="Tahoma"/>
          <w:color w:val="365F91" w:themeColor="accent1" w:themeShade="BF"/>
          <w:sz w:val="24"/>
          <w:szCs w:val="24"/>
        </w:rPr>
        <w:t xml:space="preserve"> 57 31 82</w:t>
      </w:r>
      <w:r w:rsidR="00F6457E">
        <w:rPr>
          <w:rFonts w:asciiTheme="minorHAnsi" w:hAnsiTheme="minorHAnsi" w:cs="Tahoma"/>
          <w:color w:val="365F91" w:themeColor="accent1" w:themeShade="BF"/>
          <w:sz w:val="24"/>
          <w:szCs w:val="24"/>
        </w:rPr>
        <w:t xml:space="preserve"> //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F0" w:rsidRDefault="00DC21F0" w:rsidP="00601B77">
      <w:r>
        <w:separator/>
      </w:r>
    </w:p>
  </w:endnote>
  <w:endnote w:type="continuationSeparator" w:id="0">
    <w:p w:rsidR="00DC21F0" w:rsidRDefault="00DC21F0"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F0" w:rsidRDefault="00DC21F0" w:rsidP="00601B77">
      <w:r>
        <w:separator/>
      </w:r>
    </w:p>
  </w:footnote>
  <w:footnote w:type="continuationSeparator" w:id="0">
    <w:p w:rsidR="00DC21F0" w:rsidRDefault="00DC21F0"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203436"/>
    <w:rsid w:val="00210F52"/>
    <w:rsid w:val="00232A79"/>
    <w:rsid w:val="002343C9"/>
    <w:rsid w:val="00266670"/>
    <w:rsid w:val="002C57BB"/>
    <w:rsid w:val="002D6178"/>
    <w:rsid w:val="002D784D"/>
    <w:rsid w:val="00300AD9"/>
    <w:rsid w:val="00307D6A"/>
    <w:rsid w:val="0035714B"/>
    <w:rsid w:val="00373B16"/>
    <w:rsid w:val="00391ECD"/>
    <w:rsid w:val="0039613F"/>
    <w:rsid w:val="003B5303"/>
    <w:rsid w:val="003B5D60"/>
    <w:rsid w:val="003D6DFD"/>
    <w:rsid w:val="003E0F3B"/>
    <w:rsid w:val="004148FF"/>
    <w:rsid w:val="0048566B"/>
    <w:rsid w:val="00487DA0"/>
    <w:rsid w:val="00495CAD"/>
    <w:rsid w:val="004A0C13"/>
    <w:rsid w:val="004A1ECC"/>
    <w:rsid w:val="004A3105"/>
    <w:rsid w:val="004C596B"/>
    <w:rsid w:val="004D215B"/>
    <w:rsid w:val="004D447D"/>
    <w:rsid w:val="004E5C4B"/>
    <w:rsid w:val="00502A68"/>
    <w:rsid w:val="00505686"/>
    <w:rsid w:val="00514DEA"/>
    <w:rsid w:val="00520076"/>
    <w:rsid w:val="00523550"/>
    <w:rsid w:val="00526129"/>
    <w:rsid w:val="00546B71"/>
    <w:rsid w:val="00550C97"/>
    <w:rsid w:val="005651C2"/>
    <w:rsid w:val="0058633F"/>
    <w:rsid w:val="00590E43"/>
    <w:rsid w:val="005A5A92"/>
    <w:rsid w:val="005A5EBF"/>
    <w:rsid w:val="005C0881"/>
    <w:rsid w:val="005D5F6F"/>
    <w:rsid w:val="00601B77"/>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84557"/>
    <w:rsid w:val="0078603B"/>
    <w:rsid w:val="00786ADA"/>
    <w:rsid w:val="00797DBF"/>
    <w:rsid w:val="007A2C42"/>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FC3"/>
    <w:rsid w:val="00A05B08"/>
    <w:rsid w:val="00A220FE"/>
    <w:rsid w:val="00A30A0D"/>
    <w:rsid w:val="00A511C9"/>
    <w:rsid w:val="00A75493"/>
    <w:rsid w:val="00A905F7"/>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91B54"/>
    <w:rsid w:val="00DC21F0"/>
    <w:rsid w:val="00DE63E8"/>
    <w:rsid w:val="00DF33DA"/>
    <w:rsid w:val="00E15A21"/>
    <w:rsid w:val="00E205CC"/>
    <w:rsid w:val="00E53CFE"/>
    <w:rsid w:val="00E553CC"/>
    <w:rsid w:val="00E6046C"/>
    <w:rsid w:val="00E7624F"/>
    <w:rsid w:val="00EA16C7"/>
    <w:rsid w:val="00EB6967"/>
    <w:rsid w:val="00EC02C3"/>
    <w:rsid w:val="00EF0D27"/>
    <w:rsid w:val="00EF634B"/>
    <w:rsid w:val="00F03F45"/>
    <w:rsid w:val="00F13B9D"/>
    <w:rsid w:val="00F314DC"/>
    <w:rsid w:val="00F51034"/>
    <w:rsid w:val="00F5723A"/>
    <w:rsid w:val="00F6457E"/>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981F9-6F8A-41AF-B660-13669FDC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2</cp:revision>
  <cp:lastPrinted>2016-03-18T10:59:00Z</cp:lastPrinted>
  <dcterms:created xsi:type="dcterms:W3CDTF">2016-03-21T09:30:00Z</dcterms:created>
  <dcterms:modified xsi:type="dcterms:W3CDTF">2016-03-21T09:30:00Z</dcterms:modified>
</cp:coreProperties>
</file>